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035967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  <w:r w:rsidRPr="00F905C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905CB" w:rsidRPr="00F905CB" w:rsidRDefault="00F905CB" w:rsidP="00F905CB">
            <w:pPr>
              <w:ind w:left="71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 xml:space="preserve">Vorbereiten der Stahlbetonwand- </w:t>
            </w:r>
          </w:p>
          <w:p w:rsidR="00F905CB" w:rsidRPr="00035967" w:rsidRDefault="00F905CB" w:rsidP="00035967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und -bodenflächen: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035967">
            <w:pPr>
              <w:ind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Betonwand- und -bodenflächen für die Aufnahme der nachfolgenden Arbeitsschritte mechanisch aufrauen mittels Höchstdruckwasser- oder Kugelstrahlens.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Fläche anschließend von allen haftungsmindernden Bestandteilen befreien. Material aufnehmen und entsorgen.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Eine Oberflächenzugfestigkeit der Betonoberfläche von mind. 1,5 N/mm² ist über die </w:t>
            </w:r>
            <w:r w:rsidR="00035967">
              <w:rPr>
                <w:rFonts w:cs="Arial"/>
                <w:sz w:val="16"/>
                <w:szCs w:val="16"/>
              </w:rPr>
              <w:t>Durchführung einer Oberflächen</w:t>
            </w:r>
            <w:r w:rsidRPr="00F905CB">
              <w:rPr>
                <w:rFonts w:cs="Arial"/>
                <w:sz w:val="16"/>
                <w:szCs w:val="16"/>
              </w:rPr>
              <w:t xml:space="preserve">zugfestigkeitsprüfung nachzuweisen. </w:t>
            </w:r>
          </w:p>
          <w:p w:rsidR="00F905CB" w:rsidRDefault="00F905CB" w:rsidP="00035967">
            <w:pPr>
              <w:autoSpaceDE w:val="0"/>
              <w:autoSpaceDN w:val="0"/>
              <w:adjustRightInd w:val="0"/>
              <w:ind w:left="74" w:right="1064"/>
              <w:jc w:val="both"/>
              <w:rPr>
                <w:noProof/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Das Prüfungsprotokoll ist dem Auftraggeber vorzulegen.</w:t>
            </w:r>
          </w:p>
          <w:p w:rsidR="00035967" w:rsidRPr="00F905CB" w:rsidRDefault="00035967" w:rsidP="00035967">
            <w:pPr>
              <w:autoSpaceDE w:val="0"/>
              <w:autoSpaceDN w:val="0"/>
              <w:adjustRightInd w:val="0"/>
              <w:ind w:left="74" w:right="1064"/>
              <w:jc w:val="both"/>
              <w:rPr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A72BA3">
            <w:pPr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CF5E80" w:rsidRDefault="00F905CB" w:rsidP="00CF5E80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CF5E80">
              <w:rPr>
                <w:rFonts w:cs="Arial"/>
                <w:b/>
                <w:sz w:val="16"/>
                <w:szCs w:val="16"/>
              </w:rPr>
              <w:t xml:space="preserve">Grundieren der Wand- und  </w:t>
            </w:r>
          </w:p>
          <w:p w:rsidR="00F905CB" w:rsidRPr="00CF5E80" w:rsidRDefault="00F905CB" w:rsidP="00CF5E80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CF5E80">
              <w:rPr>
                <w:rFonts w:cs="Arial"/>
                <w:b/>
                <w:sz w:val="16"/>
                <w:szCs w:val="16"/>
              </w:rPr>
              <w:t>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4762"/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1205"/>
                <w:tab w:val="left" w:pos="4762"/>
              </w:tabs>
              <w:ind w:left="71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Aufbringen einer Grundierung auf Kunstharzbasis auf saugfähigen Untergründen, als Vorbehandlung für die Aufnahme des nachfolgenden Dünnbettmörtel- bzw. Verbundabdichtungs-systems. Grundierung trocknen lassen.</w:t>
            </w:r>
          </w:p>
          <w:p w:rsidR="00F905CB" w:rsidRPr="00F905CB" w:rsidRDefault="00F905CB" w:rsidP="00F905CB">
            <w:pPr>
              <w:tabs>
                <w:tab w:val="left" w:pos="1205"/>
                <w:tab w:val="left" w:pos="4762"/>
              </w:tabs>
              <w:ind w:left="71" w:right="1064"/>
              <w:rPr>
                <w:sz w:val="16"/>
              </w:rPr>
            </w:pPr>
          </w:p>
          <w:p w:rsidR="00035967" w:rsidRDefault="00F905CB" w:rsidP="00F905CB">
            <w:pPr>
              <w:ind w:left="71"/>
              <w:rPr>
                <w:sz w:val="16"/>
              </w:rPr>
            </w:pPr>
            <w:r w:rsidRPr="00F905CB">
              <w:rPr>
                <w:sz w:val="16"/>
              </w:rPr>
              <w:t xml:space="preserve">Material: </w:t>
            </w:r>
          </w:p>
          <w:p w:rsidR="00F905CB" w:rsidRPr="00035967" w:rsidRDefault="00F905CB" w:rsidP="00035967">
            <w:pPr>
              <w:ind w:left="71"/>
              <w:rPr>
                <w:sz w:val="16"/>
              </w:rPr>
            </w:pPr>
            <w:r w:rsidRPr="00F905CB">
              <w:rPr>
                <w:sz w:val="16"/>
              </w:rPr>
              <w:t>Sopro Grundierung GD 749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905CB" w:rsidRPr="00F905CB" w:rsidRDefault="00F905CB" w:rsidP="00F905CB">
            <w:pPr>
              <w:ind w:left="71"/>
              <w:rPr>
                <w:b/>
                <w:sz w:val="16"/>
              </w:rPr>
            </w:pPr>
          </w:p>
          <w:p w:rsidR="00F905CB" w:rsidRPr="00035967" w:rsidRDefault="00F905CB" w:rsidP="00035967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 xml:space="preserve">Ausgleichsspachtel Wand: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035967">
            <w:pPr>
              <w:ind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 w:rsidR="00035967"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Stahlbetonwandflächen. Für den optimalen Verbund der nachfolgenden Spachtelmasse ist der Dünnbettmörtel mit einer 6-8</w:t>
            </w:r>
            <w:r w:rsidR="00035967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 Zahnung aufzuziehen. Zahnung stehen und aushärten lassen.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Aufbringen einer Ausgleichsspachtelung (Schichtstärke 3-30mm) mit hydraulisch schnell erhärtendem, standfestem Zementmörtel im Spritz- oder Spachtelverfahren. Oberfläche der Ausgleichsspachtel eben abziehen und glätten. Spachtelung im Bereich von Durchdringungen kranzartig um die Durchdringung aussparen und im Winkel von 90° abstellen. Putzlehren anschließend entfernen, die Bereiche bündig beispachteln.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Fachgerechte Nachbehandlung durchführen, die Spachtelung durch Nachfeuchten vor zu schneller Austrocknung schützen.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Schichtdicke im Mittel: ____cm.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Sopro's No.1 Flexkleber 400,</w:t>
            </w:r>
          </w:p>
          <w:p w:rsidR="00F905CB" w:rsidRP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SchwimmBadPutz SBP 474 oder</w:t>
            </w:r>
            <w:r w:rsidR="00035967">
              <w:rPr>
                <w:sz w:val="16"/>
                <w:szCs w:val="16"/>
              </w:rPr>
              <w:t xml:space="preserve"> </w:t>
            </w:r>
            <w:r w:rsidRPr="00F905CB">
              <w:rPr>
                <w:sz w:val="16"/>
                <w:szCs w:val="16"/>
              </w:rPr>
              <w:t xml:space="preserve"> gleichwertig.</w:t>
            </w:r>
          </w:p>
          <w:p w:rsidR="00F905CB" w:rsidRPr="00F905CB" w:rsidRDefault="00F905CB" w:rsidP="00F905C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72BA3" w:rsidRDefault="00A72BA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380271">
        <w:trPr>
          <w:trHeight w:val="40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F905CB" w:rsidRPr="00F905CB">
              <w:rPr>
                <w:sz w:val="16"/>
              </w:rPr>
              <w:t>0</w:t>
            </w: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035967" w:rsidRDefault="00F905CB" w:rsidP="007E152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Ausmodellierung de</w:t>
            </w:r>
            <w:r w:rsidR="00380271">
              <w:rPr>
                <w:rFonts w:cs="Arial"/>
                <w:b/>
                <w:sz w:val="16"/>
                <w:szCs w:val="16"/>
              </w:rPr>
              <w:t>s Beckenkopfes – Sc</w:t>
            </w:r>
            <w:r w:rsidR="007E152C">
              <w:rPr>
                <w:rFonts w:cs="Arial"/>
                <w:b/>
                <w:sz w:val="16"/>
                <w:szCs w:val="16"/>
              </w:rPr>
              <w:t>hichtdicke ≤</w:t>
            </w:r>
            <w:r w:rsidRPr="00F905CB">
              <w:rPr>
                <w:rFonts w:cs="Arial"/>
                <w:b/>
                <w:sz w:val="16"/>
                <w:szCs w:val="16"/>
              </w:rPr>
              <w:t xml:space="preserve"> 25 mm: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F905CB" w:rsidRPr="00F905CB" w:rsidTr="00035967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 w:rsidR="00035967"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Rinnenflächen und im Beckenkopfbereich. Für den optimalen Verbund der nachfolgenden Spachtelmasse ist der Dünnbettmörtel mit einer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6-8</w:t>
            </w:r>
            <w:r w:rsidR="00035967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 Zahnung aufzuziehen. Zahnung stehen und aushärten lassen.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F905CB">
            <w:pPr>
              <w:ind w:left="71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Sopro's No.1 Flexkleber 400  </w:t>
            </w:r>
            <w:r w:rsidRPr="00F905CB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</w:rPr>
              <w:t>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Herstellen der Ausmodellierung bzw. des Höhenausgleichs (Schichtstärke 3-30</w:t>
            </w:r>
            <w:r w:rsidR="00035967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mm) mit hydraulisch schnell erhärtendem, faserarmiertem, standfestem Spachtelmörtel. Oberfläche des Ausgleichsspachtels eben abziehen und glätten.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F905CB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SchwimmBadPutz SBP 474 </w:t>
            </w:r>
            <w:r w:rsidRPr="00F905CB">
              <w:rPr>
                <w:sz w:val="16"/>
                <w:szCs w:val="16"/>
              </w:rPr>
              <w:t>oder</w:t>
            </w:r>
            <w:r w:rsidRPr="00F905CB">
              <w:rPr>
                <w:sz w:val="16"/>
              </w:rPr>
              <w:t xml:space="preserve">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12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905CB" w:rsidRPr="00F905CB">
              <w:rPr>
                <w:sz w:val="16"/>
              </w:rPr>
              <w:t>0</w:t>
            </w: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C4768" w:rsidRDefault="007E152C" w:rsidP="00035967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Alternativposition:</w:t>
            </w:r>
          </w:p>
          <w:p w:rsidR="00F905CB" w:rsidRPr="00035967" w:rsidRDefault="00F905CB" w:rsidP="007E152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Au</w:t>
            </w:r>
            <w:r w:rsidR="007E152C">
              <w:rPr>
                <w:rFonts w:cs="Arial"/>
                <w:b/>
                <w:sz w:val="16"/>
                <w:szCs w:val="16"/>
              </w:rPr>
              <w:t>smodellierung des Beckenkopfes</w:t>
            </w:r>
            <w:r w:rsidRPr="00F905CB">
              <w:rPr>
                <w:rFonts w:cs="Arial"/>
                <w:b/>
                <w:sz w:val="16"/>
                <w:szCs w:val="16"/>
              </w:rPr>
              <w:t xml:space="preserve"> – </w:t>
            </w:r>
            <w:r w:rsidR="007E152C">
              <w:rPr>
                <w:rFonts w:cs="Arial"/>
                <w:b/>
                <w:sz w:val="16"/>
                <w:szCs w:val="16"/>
              </w:rPr>
              <w:t>Schichtdicke &gt;</w:t>
            </w:r>
            <w:r w:rsidRPr="00F905CB">
              <w:rPr>
                <w:rFonts w:cs="Arial"/>
                <w:b/>
                <w:sz w:val="16"/>
                <w:szCs w:val="16"/>
              </w:rPr>
              <w:t xml:space="preserve"> 25</w:t>
            </w:r>
            <w:r w:rsidR="0041404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b/>
                <w:sz w:val="16"/>
                <w:szCs w:val="16"/>
              </w:rPr>
              <w:t>mm</w:t>
            </w:r>
            <w:r w:rsidR="00035967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F905CB" w:rsidRPr="00F905CB" w:rsidTr="00035967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 w:rsidR="00035967"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Rinnenflächen und im Beckenkopfbereic</w:t>
            </w:r>
            <w:r w:rsidR="00414042">
              <w:rPr>
                <w:rFonts w:cs="Arial"/>
                <w:sz w:val="16"/>
                <w:szCs w:val="16"/>
              </w:rPr>
              <w:t>h. Für den optimalen Verbund des</w:t>
            </w:r>
            <w:r w:rsidRPr="00F905CB">
              <w:rPr>
                <w:rFonts w:cs="Arial"/>
                <w:sz w:val="16"/>
                <w:szCs w:val="16"/>
              </w:rPr>
              <w:t xml:space="preserve"> nachfolgenden </w:t>
            </w:r>
            <w:r w:rsidR="00414042">
              <w:rPr>
                <w:rFonts w:cs="Arial"/>
                <w:sz w:val="16"/>
                <w:szCs w:val="16"/>
              </w:rPr>
              <w:t>Estrichmörtels</w:t>
            </w:r>
            <w:r w:rsidRPr="00F905CB">
              <w:rPr>
                <w:rFonts w:cs="Arial"/>
                <w:sz w:val="16"/>
                <w:szCs w:val="16"/>
              </w:rPr>
              <w:t xml:space="preserve"> den Dünnbettmörtel mit einer Zahnung aufziehen.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F905CB">
            <w:pPr>
              <w:ind w:left="71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Sopro's No.1 Flexkleber 400 </w:t>
            </w:r>
            <w:r w:rsidRPr="00F905CB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</w:rPr>
              <w:t>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Herstellen der Ausmodellierung bzw. des Höhenausgleichs (Schichtstärke ≥ 25 mm) mit zementärem Schnellestrich in Fliesenkleber frisch in frisch. Material gut verdichten eben abziehen und glätten.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Rapidur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M5 SchnellEstrichMörtel 747,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Rapidur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B5 SchnellEstrichBinder 767, </w:t>
            </w:r>
          </w:p>
          <w:p w:rsidR="00F905CB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Estrichsand 0/8 mm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035967" w:rsidRPr="00035967" w:rsidRDefault="00035967" w:rsidP="00035967">
            <w:pPr>
              <w:autoSpaceDE w:val="0"/>
              <w:autoSpaceDN w:val="0"/>
              <w:adjustRightInd w:val="0"/>
              <w:ind w:right="1064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8A1C78" w:rsidRDefault="008A1C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03596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035967" w:rsidRPr="00F905CB" w:rsidRDefault="00035967" w:rsidP="00035967">
            <w:pPr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35967" w:rsidRPr="00F905CB" w:rsidRDefault="00035967" w:rsidP="00035967">
            <w:pPr>
              <w:tabs>
                <w:tab w:val="left" w:pos="1205"/>
              </w:tabs>
              <w:rPr>
                <w:rFonts w:cs="Arial"/>
                <w:b/>
                <w:sz w:val="16"/>
                <w:szCs w:val="16"/>
              </w:rPr>
            </w:pPr>
          </w:p>
          <w:p w:rsidR="00F905CB" w:rsidRPr="00F905CB" w:rsidRDefault="00F905CB" w:rsidP="00F905C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Verbundestrich am Beckenboden: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Zementschnellestrich als Verbundestrich (d </w:t>
            </w:r>
            <w:r w:rsidRPr="00F905CB">
              <w:rPr>
                <w:rFonts w:cs="Arial"/>
                <w:sz w:val="16"/>
                <w:szCs w:val="16"/>
              </w:rPr>
              <w:t>≥</w:t>
            </w:r>
            <w:r w:rsidRPr="00F905CB">
              <w:rPr>
                <w:sz w:val="16"/>
                <w:szCs w:val="16"/>
              </w:rPr>
              <w:t xml:space="preserve"> 25</w:t>
            </w:r>
            <w:r w:rsidR="00035967">
              <w:rPr>
                <w:sz w:val="16"/>
                <w:szCs w:val="16"/>
              </w:rPr>
              <w:t xml:space="preserve"> </w:t>
            </w:r>
            <w:r w:rsidR="009A0B8A">
              <w:rPr>
                <w:sz w:val="16"/>
                <w:szCs w:val="16"/>
              </w:rPr>
              <w:t>mm) der Mindestgüte CT-C60-F7</w:t>
            </w:r>
            <w:r w:rsidRPr="00F905CB">
              <w:rPr>
                <w:sz w:val="16"/>
                <w:szCs w:val="16"/>
              </w:rPr>
              <w:t xml:space="preserve"> gemäß DIN 18560-3 und DIN EN 13813 als Unterbau für nachfolgende Bodenaufbauten zur Erzielung einer für die Dünnbettverlegung notwendigen Ebenflächigkeit . </w:t>
            </w: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  <w:szCs w:val="16"/>
              </w:rPr>
            </w:pP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Herstellen mit Schnellestrichmörtel aus kunststoffvergütetem Spezialbindemittel und Estrichsand 0/8 im Mischungsverhältnis </w:t>
            </w:r>
            <w:r w:rsidR="0016507A">
              <w:rPr>
                <w:sz w:val="16"/>
                <w:szCs w:val="16"/>
              </w:rPr>
              <w:t xml:space="preserve">1:4 - </w:t>
            </w:r>
            <w:r w:rsidRPr="00F905CB">
              <w:rPr>
                <w:sz w:val="16"/>
                <w:szCs w:val="16"/>
              </w:rPr>
              <w:t xml:space="preserve">1:5 in Gewichtsteilen. </w:t>
            </w:r>
            <w:r w:rsidRPr="00F905CB">
              <w:rPr>
                <w:rFonts w:cs="Arial"/>
                <w:sz w:val="16"/>
                <w:szCs w:val="16"/>
              </w:rPr>
              <w:t xml:space="preserve">Vorbehandlung des Untergrundes mit einer Haftbrücke auf Epoxidharzbasis. Die Verarbeitung des Estrichmaterials mit der Haftbrücke erfolgt frisch in frisch. </w:t>
            </w:r>
            <w:r w:rsidRPr="00F905CB">
              <w:rPr>
                <w:sz w:val="16"/>
                <w:szCs w:val="16"/>
              </w:rPr>
              <w:t>Im Bereich von Bodeneinläufen den Estrich im Winkel von ca. 90° abstellen. Estrich verdichten und die Oberfläche für die Aufnahme von Verbundabdichtung mit Fliesen eben und glatt abziehen.</w:t>
            </w: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Estrichdicke im Mittel _______mm. Gefälle ____%.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Rapidur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B5 SchnellEstrichBinder 767, 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Estrichsand 0/8,</w:t>
            </w:r>
          </w:p>
          <w:p w:rsidR="00F905CB" w:rsidRDefault="00F905CB" w:rsidP="00035967">
            <w:pPr>
              <w:autoSpaceDE w:val="0"/>
              <w:autoSpaceDN w:val="0"/>
              <w:adjustRightInd w:val="0"/>
              <w:ind w:left="74" w:right="1064"/>
              <w:rPr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Epoxi-Grundierung EPG 522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035967" w:rsidRPr="00035967" w:rsidRDefault="00035967" w:rsidP="00035967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035967" w:rsidRDefault="00F905CB" w:rsidP="00035967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Feinspachtelung: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CF5E80">
        <w:trPr>
          <w:trHeight w:val="145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Herstellen einer Feinspachtelung (Schichtdicke 1-5</w:t>
            </w:r>
            <w:r w:rsidR="00035967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 xml:space="preserve">mm) auf Wand- oder Bodenflächen mit flexiblem, hydraulisch erhärtendem Dünnbettmörtel der Mindestgüte C2 </w:t>
            </w:r>
            <w:r w:rsidR="00035967"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12004, für die Aufnahme von Verbundabdichtung mit Fliesen im Dünnbett. 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CF5E80">
            <w:pPr>
              <w:ind w:left="71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Sopro's No.1 Flexkleber 400 </w:t>
            </w:r>
            <w:r w:rsidRPr="00F905CB">
              <w:rPr>
                <w:sz w:val="16"/>
                <w:szCs w:val="16"/>
              </w:rPr>
              <w:t>oder</w:t>
            </w:r>
            <w:r w:rsidRPr="00F905CB">
              <w:rPr>
                <w:sz w:val="16"/>
              </w:rPr>
              <w:t xml:space="preserve"> gleichwertig.</w:t>
            </w:r>
          </w:p>
          <w:p w:rsidR="00F905CB" w:rsidRPr="00F905CB" w:rsidRDefault="00F905CB" w:rsidP="00F905CB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CF5E80" w:rsidRDefault="00CF5E8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035967">
            <w:pPr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8A1C78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 xml:space="preserve">Anschluss der Abdichtung an </w:t>
            </w:r>
          </w:p>
          <w:p w:rsidR="00F905CB" w:rsidRPr="00CF5E80" w:rsidRDefault="00F905CB" w:rsidP="00CF5E80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Wanddurchdringungen: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1205"/>
              </w:tabs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PVC- und Edelstahlflansche mit grobem Schleifpapier aufrauen, mit Aceton fettfrei reinigen und mit Epoxidharz-Grundierung grundieren. Frische Grundierung mit feuergetrocknetem Quarzsand Ø 0,4 – 0,8 mm absanden und trocknen lassen.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Keilförmiges Verspachteln des Übergangsbereiches zwischen abgestelltem Putz und Andichtflansch mit kapillardichtem Epoxidharzmörtel.</w:t>
            </w: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</w:rPr>
            </w:pPr>
          </w:p>
          <w:p w:rsidR="00F905CB" w:rsidRPr="00F905CB" w:rsidRDefault="00F905CB" w:rsidP="00F905CB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Anschließen der Verbundabdichtung in drei Schichten an die Flansche der Einbauteile </w:t>
            </w:r>
            <w:r w:rsidRPr="00F905CB">
              <w:rPr>
                <w:sz w:val="16"/>
              </w:rPr>
              <w:t>unter Einlage von alkalibeständigem Glasgittergewebe als Verstärkung.</w:t>
            </w:r>
            <w:r w:rsidRPr="00F905CB">
              <w:rPr>
                <w:rFonts w:cs="Arial"/>
                <w:sz w:val="16"/>
                <w:szCs w:val="16"/>
              </w:rPr>
              <w:t xml:space="preserve">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Falls erforderlich die Anschlussbereiche nach dem Abdichten mit kapillardichtem Epoxidharzmörtel oberflächenbündig zum angrenzenden Putz beispachteln. </w:t>
            </w:r>
          </w:p>
          <w:p w:rsidR="00035967" w:rsidRDefault="00035967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BauHarz BH 869,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Quarzsand grob QS 511,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DünnBettEpoxi DBE 500,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DichtSchlämme Flex 1-K DSF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523,</w:t>
            </w:r>
          </w:p>
          <w:p w:rsidR="00F905CB" w:rsidRP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Armierung AR 562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CF5E80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Anschluss der Abdichtung an</w:t>
            </w:r>
          </w:p>
          <w:p w:rsidR="00F905CB" w:rsidRPr="00CF5E80" w:rsidRDefault="00F905CB" w:rsidP="00CF5E80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Bodendurchdringungen: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autoSpaceDE w:val="0"/>
              <w:autoSpaceDN w:val="0"/>
              <w:adjustRightInd w:val="0"/>
              <w:ind w:left="72" w:right="1064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PVC- und Edelstahlflansche mit grobem Schleifpapier aufrauen, mit Aceton fettfrei reinigen und mit Epoxidharz-Grundierung grundieren. Frische Grundierung mit feuergetrocknetem Quarzsand Ø 0,4 – 0,8 mm absanden und trocknen lassen.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Anschließen der Verbundabdichtung in drei Schichten an die Flansche der Einbauteile </w:t>
            </w:r>
            <w:r w:rsidRPr="00F905CB">
              <w:rPr>
                <w:sz w:val="16"/>
              </w:rPr>
              <w:t>unter Einlage von alkalibeständigem Glasgittergewebe als Verstärkung.</w:t>
            </w:r>
            <w:r w:rsidRPr="00F905CB">
              <w:rPr>
                <w:rFonts w:cs="Arial"/>
                <w:sz w:val="16"/>
                <w:szCs w:val="16"/>
              </w:rPr>
              <w:t xml:space="preserve"> 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 xml:space="preserve">Falls erforderlich </w:t>
            </w:r>
            <w:r w:rsidRPr="00F905CB">
              <w:rPr>
                <w:rFonts w:cs="Arial"/>
                <w:sz w:val="16"/>
                <w:szCs w:val="16"/>
              </w:rPr>
              <w:t>die Anschlussbereiche nach dem Abdichten mit kapillardichtem Epoxidharzmörtel oberflächenbündig zum angrenzenden Estrich vergießen.</w:t>
            </w:r>
          </w:p>
          <w:p w:rsidR="00035967" w:rsidRDefault="00035967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35967" w:rsidRDefault="00035967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035967">
              <w:rPr>
                <w:rFonts w:cs="Arial"/>
                <w:sz w:val="16"/>
                <w:szCs w:val="16"/>
              </w:rPr>
              <w:t>Sopro BauHarz BH 869,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Kristallquarzsand KQS 607,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Quarzsand grob QS 511,</w:t>
            </w:r>
          </w:p>
          <w:p w:rsidR="00035967" w:rsidRDefault="00F905CB" w:rsidP="00035967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DichtSchlämme Flex 1-K DSF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523,</w:t>
            </w:r>
          </w:p>
          <w:p w:rsidR="00035967" w:rsidRDefault="00F905CB" w:rsidP="00CF5E80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Armierung AR 562 </w:t>
            </w:r>
            <w:r w:rsidRPr="00F905CB">
              <w:rPr>
                <w:sz w:val="16"/>
              </w:rPr>
              <w:t>oder gleichwertig.</w:t>
            </w:r>
          </w:p>
          <w:p w:rsidR="00035967" w:rsidRPr="00F905CB" w:rsidRDefault="00035967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035967" w:rsidRDefault="00F905CB" w:rsidP="00035967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Dichtband über Bauteiltrennfuge zum Beckenumgang: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CF5E80">
        <w:trPr>
          <w:trHeight w:val="12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2"/>
              </w:tabs>
              <w:ind w:left="71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Vlieskaschiertes, dehnfähiges Sicherheitsdichtband mit besonders hoher Alkalibeständigkeit über der Bewegungsfuge mit Verbundabdichtungsmaterial fixieren und vollständig überarbeiten. Stöße überlappend ausführen.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35967" w:rsidRDefault="00F905CB" w:rsidP="00F905CB">
            <w:pPr>
              <w:ind w:left="71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 xml:space="preserve">Material: </w:t>
            </w:r>
          </w:p>
          <w:p w:rsidR="00F905CB" w:rsidRPr="00F905CB" w:rsidRDefault="00F905CB" w:rsidP="00F905CB">
            <w:pPr>
              <w:ind w:left="71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Dichtband DB 438</w:t>
            </w:r>
            <w:r w:rsidRPr="00F905CB">
              <w:rPr>
                <w:sz w:val="16"/>
                <w:szCs w:val="16"/>
              </w:rPr>
              <w:t xml:space="preserve"> oder</w:t>
            </w:r>
            <w:r w:rsidRPr="00F905CB">
              <w:rPr>
                <w:sz w:val="16"/>
              </w:rPr>
              <w:t xml:space="preserve">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CF5E80" w:rsidRDefault="00F905CB" w:rsidP="00CF5E80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Herstellen der Verbundabdichtung – Wand und Boden: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CF5E80">
            <w:pPr>
              <w:ind w:right="1064"/>
              <w:rPr>
                <w:sz w:val="16"/>
              </w:rPr>
            </w:pPr>
          </w:p>
          <w:p w:rsidR="00E16E99" w:rsidRDefault="00F905CB" w:rsidP="00E16E99">
            <w:pPr>
              <w:ind w:left="71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Beckenwände und -boden, sowie den Beckenkopf, mit flexibler, mineralischer Dichtungsschlämme </w:t>
            </w:r>
            <w:r w:rsidRPr="00F905CB">
              <w:rPr>
                <w:sz w:val="16"/>
              </w:rPr>
              <w:t>in drei Arbeitsgängen im Spachtel- oder Spritzverfahren beschichten.</w:t>
            </w:r>
            <w:r w:rsidRPr="00F905CB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sz w:val="16"/>
              </w:rPr>
              <w:t xml:space="preserve">Der Auftrag jeder Schicht muss fehlstellenfrei und in gleichmäßiger Dicke erfolgen. Aufträge jeweils trocknen lassen. </w:t>
            </w:r>
          </w:p>
          <w:p w:rsidR="00E16E99" w:rsidRDefault="00F905CB" w:rsidP="00E16E99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Gesamttrockenschichtdicke mind. 2,5</w:t>
            </w:r>
            <w:r w:rsidR="00035967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 xml:space="preserve">mm. </w:t>
            </w:r>
          </w:p>
          <w:p w:rsidR="00E16E99" w:rsidRPr="00F905CB" w:rsidRDefault="00E16E99" w:rsidP="00E16E99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Schichtdickenkontrolle muss durch Nass-schichtdickenmessungen und durch genaue Kontrolle des Materialverbrauchs erfolgen.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Für das Abdichtungsmaterial ist das allgemein bauaufsichtliche Prüfungszeugnis (abP) für die Beanspruchungsklasse B gemäß DIBt Bauregelliste A vorzulegen.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035967">
            <w:pPr>
              <w:ind w:left="71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DichtSchlämme Flex 1-K DSF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523 </w:t>
            </w:r>
            <w:r w:rsidRPr="00F905CB">
              <w:rPr>
                <w:sz w:val="16"/>
              </w:rPr>
              <w:t>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380271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035967" w:rsidRDefault="00F905CB" w:rsidP="007E152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Armierungseinlage: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146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7E152C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 Bereich von Innene</w:t>
            </w:r>
            <w:r w:rsidR="00F905CB" w:rsidRPr="00F905CB">
              <w:rPr>
                <w:rFonts w:cs="Arial"/>
                <w:sz w:val="16"/>
                <w:szCs w:val="16"/>
              </w:rPr>
              <w:t xml:space="preserve">cken </w:t>
            </w:r>
            <w:r>
              <w:rPr>
                <w:rFonts w:cs="Arial"/>
                <w:sz w:val="16"/>
                <w:szCs w:val="16"/>
              </w:rPr>
              <w:t>und zu Durchdringungen</w:t>
            </w:r>
            <w:r w:rsidR="00F905CB" w:rsidRPr="00F905CB">
              <w:rPr>
                <w:rFonts w:cs="Arial"/>
                <w:sz w:val="16"/>
                <w:szCs w:val="16"/>
              </w:rPr>
              <w:t xml:space="preserve"> im Unterwasserbereich alkalibeständiges Glasgittergewebe als Verstärkung in die erste Abdichtungsschicht einarbeiten.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35967" w:rsidRDefault="00F905CB" w:rsidP="00F905CB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Pr="00F905CB" w:rsidRDefault="00F905CB" w:rsidP="00CF5E80">
            <w:pPr>
              <w:ind w:left="71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Armierung AR 562 </w:t>
            </w:r>
            <w:r w:rsidR="00CF5E80">
              <w:rPr>
                <w:sz w:val="16"/>
              </w:rPr>
              <w:t>oder gleichwertig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CC0BD2" w:rsidRDefault="00F905CB" w:rsidP="00CC0BD2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Versetzen der Griffleiste bzw. der Rinnensteine im Mittelbett: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4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Vollsattes Versetzen der Beckenkopfformteile/Rinnensteine/ Griffleiste auf Verbundabdichtung mit hydraulisch erhärtendem, trasshaltigem, flexiblem Mittelbettmörtel (Schichtdicke 5-30</w:t>
            </w:r>
            <w:r w:rsidR="00CC0BD2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 xml:space="preserve">mm) im Buttering-Floating-Verfahren.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CC0BD2" w:rsidRDefault="00F905CB" w:rsidP="00F905CB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F905CB" w:rsidRDefault="00F905CB" w:rsidP="00CC0BD2">
            <w:pPr>
              <w:ind w:left="71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MittelBettmörtel flex MB 414 </w:t>
            </w:r>
            <w:r w:rsidRPr="00F905CB">
              <w:rPr>
                <w:sz w:val="16"/>
                <w:szCs w:val="16"/>
              </w:rPr>
              <w:t>oder</w:t>
            </w:r>
            <w:r w:rsidRPr="00F905CB">
              <w:rPr>
                <w:sz w:val="16"/>
              </w:rPr>
              <w:t xml:space="preserve"> gleichwertig.</w:t>
            </w:r>
          </w:p>
          <w:p w:rsidR="00CC0BD2" w:rsidRPr="00F905CB" w:rsidRDefault="00CC0BD2" w:rsidP="00CC0BD2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9A0C2A" w:rsidRDefault="009A0C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CC0BD2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CF5E80" w:rsidP="00F905CB">
            <w:pPr>
              <w:jc w:val="center"/>
              <w:rPr>
                <w:sz w:val="16"/>
              </w:rPr>
            </w:pPr>
            <w:r>
              <w:lastRenderedPageBreak/>
              <w:br w:type="page"/>
            </w: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4C4768" w:rsidRDefault="004C4768" w:rsidP="00CC0BD2">
            <w:pPr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F905CB" w:rsidRPr="00F905CB" w:rsidRDefault="00F905CB" w:rsidP="00CC0BD2">
            <w:pPr>
              <w:ind w:left="74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 xml:space="preserve">Kapillarbrechende Fugenfüllung </w:t>
            </w:r>
            <w:r w:rsidR="004C4768">
              <w:rPr>
                <w:b/>
                <w:sz w:val="16"/>
              </w:rPr>
              <w:t>hinter der Ü</w:t>
            </w:r>
            <w:r w:rsidRPr="00F905CB">
              <w:rPr>
                <w:b/>
                <w:sz w:val="16"/>
              </w:rPr>
              <w:t>berlaufrinne: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CC0BD2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Kapillarbrechenden Fugenfüllung an der Beckenumgangsseite der keramischen Überlaufrinne herstellen mit einem Vergussmörtel aus Epoxidharz und fe</w:t>
            </w:r>
            <w:r w:rsidR="000F5103">
              <w:rPr>
                <w:rFonts w:cs="Arial"/>
                <w:sz w:val="16"/>
                <w:szCs w:val="16"/>
              </w:rPr>
              <w:t>uergetrocknetem Quarzsand Ø 0,1-0,4 mm im Mischungsverhältnis 1:1,5</w:t>
            </w:r>
            <w:r w:rsidRPr="00F905CB">
              <w:rPr>
                <w:rFonts w:cs="Arial"/>
                <w:sz w:val="16"/>
                <w:szCs w:val="16"/>
              </w:rPr>
              <w:t xml:space="preserve"> in Raumteilen.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Um ein Auslaufen der Vergussmasse zu verhindern sind die Fugen der Rinne vorab zu schließen.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Die Oberfläche des Vergusses ist nach Erreichen einer ausreichenden Erhärtungszeit abzusanden mit feuergetrocknetem Quarzsand Ø 0,4 - 0,8</w:t>
            </w:r>
            <w:r w:rsidR="00CC0BD2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CC0BD2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Mat</w:t>
            </w:r>
            <w:r w:rsidR="00CC0BD2">
              <w:rPr>
                <w:rFonts w:cs="Arial"/>
                <w:sz w:val="16"/>
                <w:szCs w:val="16"/>
              </w:rPr>
              <w:t>erial:</w:t>
            </w:r>
            <w:r w:rsidR="00CC0BD2">
              <w:rPr>
                <w:rFonts w:cs="Arial"/>
                <w:sz w:val="16"/>
                <w:szCs w:val="16"/>
              </w:rPr>
              <w:tab/>
            </w:r>
          </w:p>
          <w:p w:rsidR="00CC0BD2" w:rsidRDefault="00CC0BD2" w:rsidP="00CC0BD2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Sopro BauH</w:t>
            </w:r>
            <w:r w:rsidR="00F905CB" w:rsidRPr="00F905CB">
              <w:rPr>
                <w:rFonts w:cs="Arial"/>
                <w:sz w:val="16"/>
                <w:szCs w:val="16"/>
              </w:rPr>
              <w:t xml:space="preserve">arz BH 869, </w:t>
            </w:r>
          </w:p>
          <w:p w:rsidR="00CC0BD2" w:rsidRDefault="00F905CB" w:rsidP="00CC0BD2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Kristallquarzsand KQS 607, </w:t>
            </w:r>
          </w:p>
          <w:p w:rsidR="00F905CB" w:rsidRPr="00CF5E80" w:rsidRDefault="00F905CB" w:rsidP="00CF5E80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Quarzsand grob QS 511 </w:t>
            </w:r>
            <w:r w:rsidRPr="00F905CB">
              <w:rPr>
                <w:sz w:val="16"/>
              </w:rPr>
              <w:t>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CC0BD2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F905CB">
            <w:pPr>
              <w:ind w:left="74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Alternativposition:</w:t>
            </w:r>
          </w:p>
          <w:p w:rsidR="00F905CB" w:rsidRPr="00F905CB" w:rsidRDefault="00F905CB" w:rsidP="00CC0BD2">
            <w:pPr>
              <w:ind w:left="74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Kapillarbrechende Fliesenverlegung in Finnischer Rinne: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Hohlraumfreies, kapillarbrechendes Verlegen, Verspachteln und Verfugen der obersten Fliesenreihe in der Rinne zum Beckenumgang hin mit </w:t>
            </w:r>
            <w:r w:rsidRPr="00F905CB">
              <w:rPr>
                <w:sz w:val="16"/>
              </w:rPr>
              <w:t xml:space="preserve">Epoxidharzmörtel R2 T / RG gemäß DIN EN 12004 / 13888.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CC0BD2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Material:</w:t>
            </w:r>
            <w:r w:rsidRPr="00F905CB">
              <w:rPr>
                <w:rFonts w:cs="Arial"/>
                <w:sz w:val="16"/>
                <w:szCs w:val="16"/>
              </w:rPr>
              <w:tab/>
            </w:r>
          </w:p>
          <w:p w:rsidR="00F905CB" w:rsidRPr="00CF5E80" w:rsidRDefault="00F905CB" w:rsidP="00CF5E80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FugenEpoxi FEP </w:t>
            </w:r>
            <w:r w:rsidRPr="00F905CB">
              <w:rPr>
                <w:sz w:val="16"/>
              </w:rPr>
              <w:t>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9A0C2A" w:rsidRDefault="009A0C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03596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CF5E80" w:rsidP="00F905CB">
            <w:pPr>
              <w:jc w:val="center"/>
              <w:rPr>
                <w:sz w:val="16"/>
              </w:rPr>
            </w:pPr>
            <w:r>
              <w:lastRenderedPageBreak/>
              <w:br w:type="page"/>
            </w: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F905CB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 xml:space="preserve">Ansetzen und Verlegen von Wand- </w:t>
            </w:r>
          </w:p>
          <w:p w:rsidR="00F905CB" w:rsidRPr="00CF5E80" w:rsidRDefault="00F905CB" w:rsidP="00CF5E80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und Bodenfliesen: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CF5E80">
        <w:trPr>
          <w:trHeight w:val="40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F905CB">
              <w:rPr>
                <w:sz w:val="16"/>
              </w:rPr>
              <w:t>Fliesenfabrikat:       _____________________</w:t>
            </w:r>
          </w:p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F905CB">
              <w:rPr>
                <w:sz w:val="16"/>
              </w:rPr>
              <w:t>Fliesentyp:              _____________________</w:t>
            </w:r>
          </w:p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F905CB">
              <w:rPr>
                <w:sz w:val="16"/>
              </w:rPr>
              <w:t>Fliesenformat:         _____________________</w:t>
            </w:r>
          </w:p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F905CB">
              <w:rPr>
                <w:sz w:val="16"/>
              </w:rPr>
              <w:t>Fliesenfarbe:           _____________________</w:t>
            </w:r>
          </w:p>
          <w:p w:rsidR="00F905CB" w:rsidRPr="00F905CB" w:rsidRDefault="00F905CB" w:rsidP="00F905C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F905CB">
              <w:rPr>
                <w:sz w:val="16"/>
              </w:rPr>
              <w:t>Rutschhemmung:    _____________________</w:t>
            </w:r>
          </w:p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Weitestgehend hohlraumfreies Ansetzen und Verlegen von Fliesen im Dünnbett im Buttering-Floating-Verfahren auf Wand- und Bodenflächen mit Verbundabdichtung mittels hydraulisch erhärtendem, flexiblem Dünnbettmörtel C2 TE S1</w:t>
            </w:r>
            <w:r w:rsidR="00E0144B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 xml:space="preserve">gemäß DIN EN 12004. 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Bewegungsfugen sind im Fliesenbelag des Beckens im Übergang Boden – Wand, in Ecken sowie als Feldunterteilung (Boden- und Wandbelag, Beckenkopf, Raster max. 5x5</w:t>
            </w:r>
            <w:r w:rsidR="00CC0BD2"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m) vorzusehen. Die Fugen müssen frei von Mörtelresten sein und sind hierfür ggf. auszukratzen.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ab/>
            </w:r>
          </w:p>
          <w:p w:rsidR="00CC0BD2" w:rsidRDefault="00F905CB" w:rsidP="00CC0BD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>Fliesenflächen mit hydraulisch erhärtendem Fugenmörtel für hohe Beanspruchungen</w:t>
            </w:r>
            <w:r w:rsidRPr="00F905CB">
              <w:rPr>
                <w:sz w:val="16"/>
              </w:rPr>
              <w:t xml:space="preserve"> verfuge</w:t>
            </w:r>
            <w:r w:rsidR="00CC0BD2">
              <w:rPr>
                <w:sz w:val="16"/>
              </w:rPr>
              <w:t>n. Fugenmörtel mit hoher Abrieb</w:t>
            </w:r>
            <w:r w:rsidRPr="00F905CB">
              <w:rPr>
                <w:sz w:val="16"/>
              </w:rPr>
              <w:t xml:space="preserve">festigkeit CG2 WA </w:t>
            </w:r>
            <w:r w:rsidR="00035967">
              <w:rPr>
                <w:sz w:val="16"/>
              </w:rPr>
              <w:t>gemäß</w:t>
            </w:r>
            <w:r w:rsidRPr="00F905CB">
              <w:rPr>
                <w:sz w:val="16"/>
              </w:rPr>
              <w:t xml:space="preserve"> DIN EN 13888, beständig bei Dampfstrahlreinigung.</w:t>
            </w:r>
          </w:p>
          <w:p w:rsidR="00CC0BD2" w:rsidRDefault="00CC0BD2" w:rsidP="00CC0BD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F905CB" w:rsidRPr="00F905CB" w:rsidRDefault="00F905CB" w:rsidP="00CC0BD2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Fugenbreite _____mm, Fugenfarbe ______.</w:t>
            </w:r>
          </w:p>
          <w:p w:rsidR="00F905CB" w:rsidRPr="00F905CB" w:rsidRDefault="00F905CB" w:rsidP="00F905CB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CC0BD2" w:rsidRDefault="00F905CB" w:rsidP="00CC0BD2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CC0BD2" w:rsidRDefault="00F905CB" w:rsidP="00CC0BD2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Sopro's No.1 Flexkleber 400,</w:t>
            </w:r>
          </w:p>
          <w:p w:rsidR="00F905CB" w:rsidRPr="00CF5E80" w:rsidRDefault="00F905CB" w:rsidP="00CF5E80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TitecFuge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breit TFb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10C4B" w:rsidRPr="00F905CB" w:rsidTr="008C5B8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10C4B" w:rsidRPr="00F905CB" w:rsidRDefault="00610C4B" w:rsidP="008C5B8E">
            <w:pPr>
              <w:jc w:val="center"/>
              <w:rPr>
                <w:sz w:val="16"/>
              </w:rPr>
            </w:pPr>
          </w:p>
          <w:p w:rsidR="00610C4B" w:rsidRPr="00F905CB" w:rsidRDefault="009A0C2A" w:rsidP="008C5B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610C4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10C4B" w:rsidRDefault="00610C4B" w:rsidP="008C5B8E">
            <w:pPr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Zulageposition:</w:t>
            </w:r>
          </w:p>
          <w:p w:rsidR="00610C4B" w:rsidRPr="00CF5E80" w:rsidRDefault="00610C4B" w:rsidP="008C5B8E">
            <w:pPr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Fliesenverlegung mit hoch flexiblem Klebemörtel</w:t>
            </w:r>
            <w:r w:rsidRPr="00F905CB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610C4B" w:rsidRPr="00F905CB" w:rsidTr="008C5B8E">
        <w:trPr>
          <w:trHeight w:val="40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10C4B" w:rsidRPr="00F905CB" w:rsidRDefault="00610C4B" w:rsidP="008C5B8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C4B" w:rsidRPr="00F905CB" w:rsidRDefault="00610C4B" w:rsidP="008C5B8E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610C4B" w:rsidRDefault="00610C4B" w:rsidP="00610C4B">
            <w:pPr>
              <w:ind w:left="71" w:right="106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Wie Vorposition 170</w:t>
            </w:r>
            <w:r w:rsidR="005170ED">
              <w:rPr>
                <w:sz w:val="16"/>
              </w:rPr>
              <w:t>,</w:t>
            </w:r>
            <w:r>
              <w:rPr>
                <w:sz w:val="16"/>
              </w:rPr>
              <w:t xml:space="preserve"> jedoch Verlegung</w:t>
            </w:r>
            <w:r w:rsidRPr="00F905CB">
              <w:rPr>
                <w:rFonts w:cs="Arial"/>
                <w:sz w:val="16"/>
                <w:szCs w:val="16"/>
              </w:rPr>
              <w:t xml:space="preserve"> mittels </w:t>
            </w:r>
            <w:r>
              <w:rPr>
                <w:rFonts w:cs="Arial"/>
                <w:sz w:val="16"/>
                <w:szCs w:val="16"/>
              </w:rPr>
              <w:t xml:space="preserve">zweikomponentigem, </w:t>
            </w:r>
            <w:r w:rsidR="00970959">
              <w:rPr>
                <w:rFonts w:cs="Arial"/>
                <w:sz w:val="16"/>
                <w:szCs w:val="16"/>
              </w:rPr>
              <w:t xml:space="preserve">hydraulisch erhärtendem </w:t>
            </w:r>
            <w:r>
              <w:rPr>
                <w:rFonts w:cs="Arial"/>
                <w:sz w:val="16"/>
                <w:szCs w:val="16"/>
              </w:rPr>
              <w:t xml:space="preserve">Dünnbettmörtel C2 E S2 </w:t>
            </w:r>
            <w:r w:rsidRPr="00F905CB">
              <w:rPr>
                <w:rFonts w:cs="Arial"/>
                <w:sz w:val="16"/>
                <w:szCs w:val="16"/>
              </w:rPr>
              <w:t xml:space="preserve">gemäß DIN EN 12004. </w:t>
            </w:r>
          </w:p>
          <w:p w:rsidR="00610C4B" w:rsidRPr="00F905CB" w:rsidRDefault="00610C4B" w:rsidP="00610C4B">
            <w:pPr>
              <w:ind w:left="71" w:right="10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Verlegemörtel mit höchster Flexibilität </w:t>
            </w:r>
            <w:r w:rsidR="005170ED">
              <w:rPr>
                <w:rFonts w:cs="Arial"/>
                <w:sz w:val="16"/>
                <w:szCs w:val="16"/>
              </w:rPr>
              <w:t>zur Verminderung</w:t>
            </w:r>
            <w:r>
              <w:rPr>
                <w:rFonts w:cs="Arial"/>
                <w:sz w:val="16"/>
                <w:szCs w:val="16"/>
              </w:rPr>
              <w:t xml:space="preserve"> des Auftretens schädigender Spannungen im Belag, bedingt durch Verformungen</w:t>
            </w:r>
            <w:r w:rsidR="00970959">
              <w:rPr>
                <w:rFonts w:cs="Arial"/>
                <w:sz w:val="16"/>
                <w:szCs w:val="16"/>
              </w:rPr>
              <w:t>/Bewegungen der K</w:t>
            </w:r>
            <w:r w:rsidR="005170ED">
              <w:rPr>
                <w:rFonts w:cs="Arial"/>
                <w:sz w:val="16"/>
                <w:szCs w:val="16"/>
              </w:rPr>
              <w:t>onstruktion</w:t>
            </w:r>
            <w:r w:rsidR="005170ED">
              <w:t xml:space="preserve"> </w:t>
            </w:r>
            <w:r w:rsidR="005170ED" w:rsidRPr="005170ED">
              <w:rPr>
                <w:rFonts w:cs="Arial"/>
                <w:sz w:val="16"/>
                <w:szCs w:val="16"/>
              </w:rPr>
              <w:t>(z. B. Schwinden und Kriechen des Betons)</w:t>
            </w:r>
          </w:p>
          <w:p w:rsidR="00610C4B" w:rsidRPr="00F905CB" w:rsidRDefault="00610C4B" w:rsidP="008C5B8E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610C4B" w:rsidRDefault="00610C4B" w:rsidP="008C5B8E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610C4B" w:rsidRPr="00CF5E80" w:rsidRDefault="00610C4B" w:rsidP="008C5B8E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610C4B">
              <w:rPr>
                <w:rFonts w:cs="Arial"/>
                <w:sz w:val="16"/>
                <w:szCs w:val="16"/>
              </w:rPr>
              <w:t xml:space="preserve">Sopro megaFlex S2 MEG 665 </w:t>
            </w:r>
            <w:r w:rsidRPr="00610C4B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  <w:szCs w:val="16"/>
              </w:rPr>
              <w:t>.</w:t>
            </w:r>
          </w:p>
          <w:p w:rsidR="00610C4B" w:rsidRPr="00F905CB" w:rsidRDefault="00610C4B" w:rsidP="008C5B8E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0C4B" w:rsidRPr="00F905CB" w:rsidRDefault="00610C4B" w:rsidP="008C5B8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CC0BD2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F905CB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F905CB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Eventualposition:</w:t>
            </w:r>
          </w:p>
          <w:p w:rsidR="00F905CB" w:rsidRPr="00CF5E80" w:rsidRDefault="00F905CB" w:rsidP="00CF5E80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Bewegungsfugenprofile: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CC0BD2">
        <w:trPr>
          <w:trHeight w:val="88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4" w:right="1064"/>
              <w:rPr>
                <w:rFonts w:cs="Arial"/>
                <w:sz w:val="16"/>
                <w:szCs w:val="16"/>
              </w:rPr>
            </w:pPr>
          </w:p>
          <w:p w:rsidR="00F905CB" w:rsidRPr="00CC0BD2" w:rsidRDefault="00F905CB" w:rsidP="00CC0BD2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Versetzen von unterwassergeeigneten Bewegungsfugenprofilen im Bereich der Bauteiltrennfuge zwischen Beckenkopf und Beckenumgang.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9A0C2A" w:rsidRDefault="009A0C2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905CB" w:rsidRPr="00F905CB" w:rsidTr="00CC0BD2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9A0C2A" w:rsidP="00F90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F905CB" w:rsidRPr="00F905CB" w:rsidRDefault="00F905CB" w:rsidP="00CF5E80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Elastische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F905CB" w:rsidRPr="00F905CB" w:rsidTr="00035967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ind w:left="71" w:right="1064"/>
              <w:rPr>
                <w:sz w:val="16"/>
              </w:rPr>
            </w:pPr>
          </w:p>
          <w:p w:rsidR="00F905CB" w:rsidRPr="00F905CB" w:rsidRDefault="00F905CB" w:rsidP="00F905CB">
            <w:pPr>
              <w:ind w:left="74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Anschluss- und Bewegungsfugen mit elastischem, fungizid und fungistatisch eingestelltem Fugenfüllstoff verfüllen. Fugenflanken vorbehandeln mit unterwassergeeignetem Primer.</w:t>
            </w:r>
          </w:p>
          <w:p w:rsidR="00F905CB" w:rsidRPr="00F905CB" w:rsidRDefault="00F905CB" w:rsidP="00F905CB">
            <w:pPr>
              <w:ind w:left="74" w:right="1064"/>
              <w:rPr>
                <w:sz w:val="16"/>
              </w:rPr>
            </w:pPr>
          </w:p>
          <w:p w:rsidR="00CC0BD2" w:rsidRDefault="00F905CB" w:rsidP="00F905CB">
            <w:pPr>
              <w:tabs>
                <w:tab w:val="left" w:pos="1205"/>
              </w:tabs>
              <w:ind w:left="74" w:right="1064"/>
              <w:rPr>
                <w:sz w:val="16"/>
              </w:rPr>
            </w:pPr>
            <w:r w:rsidRPr="00F905CB">
              <w:rPr>
                <w:sz w:val="16"/>
              </w:rPr>
              <w:t xml:space="preserve">Material: </w:t>
            </w:r>
          </w:p>
          <w:p w:rsidR="00CC0BD2" w:rsidRDefault="00F905CB" w:rsidP="00CC0BD2">
            <w:pPr>
              <w:tabs>
                <w:tab w:val="left" w:pos="1205"/>
              </w:tabs>
              <w:ind w:left="74" w:right="1064"/>
              <w:rPr>
                <w:sz w:val="16"/>
              </w:rPr>
            </w:pPr>
            <w:r w:rsidRPr="00F905CB">
              <w:rPr>
                <w:sz w:val="16"/>
              </w:rPr>
              <w:t xml:space="preserve">Sopro SanitärSilicon, </w:t>
            </w:r>
          </w:p>
          <w:p w:rsidR="00F905CB" w:rsidRPr="00F905CB" w:rsidRDefault="00F905CB" w:rsidP="00CF5E80">
            <w:pPr>
              <w:tabs>
                <w:tab w:val="left" w:pos="1205"/>
              </w:tabs>
              <w:ind w:left="74" w:right="1064"/>
              <w:rPr>
                <w:sz w:val="16"/>
              </w:rPr>
            </w:pPr>
            <w:r w:rsidRPr="00F905CB">
              <w:rPr>
                <w:sz w:val="16"/>
              </w:rPr>
              <w:t>Sopro Primer UW 025 oder gleichwertig.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905CB" w:rsidRPr="00F905CB" w:rsidTr="00CF5E80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905CB" w:rsidRPr="00F905CB" w:rsidRDefault="00F905CB" w:rsidP="00F905CB">
            <w:pPr>
              <w:ind w:left="71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Folgende Technische Datenblätter sind bei der Verarbeitung der Produkte zu beachten: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F905CB" w:rsidRPr="00F905CB" w:rsidTr="00CF5E80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905CB" w:rsidRPr="00F905CB" w:rsidRDefault="00F905CB" w:rsidP="00F905C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5CB" w:rsidRPr="00CF5E80" w:rsidRDefault="00CF5E80" w:rsidP="00CF5E80">
            <w:pPr>
              <w:ind w:left="74"/>
              <w:rPr>
                <w:sz w:val="16"/>
                <w:szCs w:val="16"/>
              </w:rPr>
            </w:pPr>
            <w:r w:rsidRPr="00CF5E80">
              <w:rPr>
                <w:sz w:val="16"/>
                <w:szCs w:val="16"/>
              </w:rPr>
              <w:t xml:space="preserve">- </w:t>
            </w:r>
            <w:r w:rsidR="00F905CB" w:rsidRPr="00CF5E80">
              <w:rPr>
                <w:sz w:val="16"/>
                <w:szCs w:val="16"/>
              </w:rPr>
              <w:t>Sopro Rapidur® B5 SchnellEstrichBinder 767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- </w:t>
            </w:r>
            <w:r w:rsidRPr="00F905CB">
              <w:rPr>
                <w:rFonts w:cs="Arial"/>
                <w:sz w:val="16"/>
                <w:szCs w:val="16"/>
              </w:rPr>
              <w:t>Sopro Rapidur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M5 SchnellEstrichMörtel 747</w:t>
            </w:r>
          </w:p>
          <w:p w:rsidR="00F905CB" w:rsidRPr="00F905CB" w:rsidRDefault="00F905CB" w:rsidP="00F905CB">
            <w:pPr>
              <w:ind w:left="71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- Sopro SchwimmBadPutz 474 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Quarzsand grob QS 511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- </w:t>
            </w:r>
            <w:r w:rsidRPr="00F905CB">
              <w:rPr>
                <w:rFonts w:cs="Arial"/>
                <w:sz w:val="16"/>
                <w:szCs w:val="16"/>
              </w:rPr>
              <w:t>Sopro Kristallquarzsand KQS 607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Epoxi-Grundierung EPG 522</w:t>
            </w:r>
          </w:p>
          <w:p w:rsidR="00F905CB" w:rsidRPr="00F905CB" w:rsidRDefault="00CF5E80" w:rsidP="00F905CB">
            <w:pPr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Sopro BauH</w:t>
            </w:r>
            <w:r w:rsidR="00F905CB" w:rsidRPr="00F905CB">
              <w:rPr>
                <w:sz w:val="16"/>
                <w:szCs w:val="16"/>
              </w:rPr>
              <w:t>arz BH 869</w:t>
            </w:r>
          </w:p>
          <w:p w:rsidR="00F905CB" w:rsidRPr="00F905CB" w:rsidRDefault="00F905CB" w:rsidP="00F905CB">
            <w:pPr>
              <w:ind w:left="71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Grundierung GD 749</w:t>
            </w:r>
          </w:p>
          <w:p w:rsidR="00F905CB" w:rsidRPr="00F905CB" w:rsidRDefault="00F905CB" w:rsidP="00F905CB">
            <w:pPr>
              <w:ind w:left="71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- </w:t>
            </w:r>
            <w:r w:rsidRPr="00F905CB">
              <w:rPr>
                <w:rFonts w:cs="Arial"/>
                <w:sz w:val="16"/>
                <w:szCs w:val="16"/>
              </w:rPr>
              <w:t>Sopro Armierung AR 562</w:t>
            </w:r>
          </w:p>
          <w:p w:rsidR="00F905CB" w:rsidRPr="000F5103" w:rsidRDefault="00F905CB" w:rsidP="00F905CB">
            <w:pPr>
              <w:ind w:left="74"/>
              <w:rPr>
                <w:sz w:val="16"/>
                <w:szCs w:val="16"/>
                <w:lang w:val="it-IT"/>
              </w:rPr>
            </w:pPr>
            <w:r w:rsidRPr="000F5103">
              <w:rPr>
                <w:sz w:val="16"/>
                <w:szCs w:val="16"/>
                <w:lang w:val="it-IT"/>
              </w:rPr>
              <w:t xml:space="preserve">- </w:t>
            </w:r>
            <w:r w:rsidRPr="000F5103">
              <w:rPr>
                <w:rFonts w:cs="Arial"/>
                <w:sz w:val="16"/>
                <w:szCs w:val="16"/>
                <w:lang w:val="it-IT"/>
              </w:rPr>
              <w:t>Sopro DünnBettEpoxi DBE 500</w:t>
            </w:r>
          </w:p>
          <w:p w:rsidR="00F905CB" w:rsidRPr="000F5103" w:rsidRDefault="00F905CB" w:rsidP="00F905CB">
            <w:pPr>
              <w:ind w:left="74"/>
              <w:rPr>
                <w:sz w:val="16"/>
                <w:szCs w:val="16"/>
                <w:lang w:val="it-IT"/>
              </w:rPr>
            </w:pPr>
            <w:r w:rsidRPr="000F5103">
              <w:rPr>
                <w:sz w:val="16"/>
                <w:szCs w:val="16"/>
                <w:lang w:val="it-IT"/>
              </w:rPr>
              <w:t xml:space="preserve">- Sopro FugenEpoxi FEP 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- </w:t>
            </w:r>
            <w:r w:rsidRPr="00F905CB">
              <w:rPr>
                <w:rFonts w:cs="Arial"/>
                <w:sz w:val="16"/>
                <w:szCs w:val="16"/>
              </w:rPr>
              <w:t>Sopro Dichtband DB 438</w:t>
            </w:r>
            <w:r w:rsidRPr="00F905CB">
              <w:rPr>
                <w:sz w:val="16"/>
                <w:szCs w:val="16"/>
              </w:rPr>
              <w:t xml:space="preserve">   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DichtSchlämme Flex 1-K DSF</w:t>
            </w:r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sz w:val="16"/>
                <w:szCs w:val="16"/>
              </w:rPr>
              <w:t xml:space="preserve"> 523</w:t>
            </w:r>
          </w:p>
          <w:p w:rsidR="00F905CB" w:rsidRPr="009A0C2A" w:rsidRDefault="00F905CB" w:rsidP="00F905CB">
            <w:pPr>
              <w:ind w:left="74"/>
              <w:rPr>
                <w:sz w:val="16"/>
                <w:szCs w:val="16"/>
                <w:lang w:val="en-GB"/>
              </w:rPr>
            </w:pPr>
            <w:r w:rsidRPr="009A0C2A">
              <w:rPr>
                <w:sz w:val="16"/>
                <w:szCs w:val="16"/>
                <w:lang w:val="en-GB"/>
              </w:rPr>
              <w:t xml:space="preserve">- </w:t>
            </w:r>
            <w:r w:rsidRPr="009A0C2A">
              <w:rPr>
                <w:rFonts w:cs="Arial"/>
                <w:sz w:val="16"/>
                <w:szCs w:val="16"/>
                <w:lang w:val="en-GB"/>
              </w:rPr>
              <w:t>Sopro MittelBettmörtel flex MB 414</w:t>
            </w:r>
          </w:p>
          <w:p w:rsidR="00F905CB" w:rsidRPr="009A0C2A" w:rsidRDefault="00F905CB" w:rsidP="00F905CB">
            <w:pPr>
              <w:ind w:left="74"/>
              <w:rPr>
                <w:sz w:val="16"/>
                <w:szCs w:val="16"/>
                <w:lang w:val="en-GB"/>
              </w:rPr>
            </w:pPr>
            <w:r w:rsidRPr="009A0C2A">
              <w:rPr>
                <w:sz w:val="16"/>
                <w:szCs w:val="16"/>
                <w:lang w:val="en-GB"/>
              </w:rPr>
              <w:t>- Sopro's No.1 Flexkleber 400</w:t>
            </w:r>
          </w:p>
          <w:p w:rsidR="00970959" w:rsidRPr="009A0C2A" w:rsidRDefault="00970959" w:rsidP="00F905CB">
            <w:pPr>
              <w:ind w:left="74"/>
              <w:rPr>
                <w:sz w:val="16"/>
                <w:szCs w:val="16"/>
                <w:lang w:val="en-GB"/>
              </w:rPr>
            </w:pPr>
            <w:r w:rsidRPr="009A0C2A">
              <w:rPr>
                <w:sz w:val="16"/>
                <w:szCs w:val="16"/>
                <w:lang w:val="en-GB"/>
              </w:rPr>
              <w:t>- Sopro megaFlex S2 MEG 665</w:t>
            </w:r>
          </w:p>
          <w:p w:rsidR="00F905CB" w:rsidRPr="00970959" w:rsidRDefault="00F905CB" w:rsidP="00F905CB">
            <w:pPr>
              <w:ind w:left="74"/>
              <w:rPr>
                <w:sz w:val="16"/>
                <w:szCs w:val="16"/>
              </w:rPr>
            </w:pPr>
            <w:r w:rsidRPr="00970959">
              <w:rPr>
                <w:sz w:val="16"/>
                <w:szCs w:val="16"/>
              </w:rPr>
              <w:t xml:space="preserve">- </w:t>
            </w:r>
            <w:r w:rsidRPr="00970959">
              <w:rPr>
                <w:rFonts w:cs="Arial"/>
                <w:sz w:val="16"/>
                <w:szCs w:val="16"/>
              </w:rPr>
              <w:t>Sopro TitecFuge</w:t>
            </w:r>
            <w:r w:rsidRPr="0097095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70959">
              <w:rPr>
                <w:rFonts w:cs="Arial"/>
                <w:sz w:val="16"/>
                <w:szCs w:val="16"/>
              </w:rPr>
              <w:t xml:space="preserve"> breit TFb</w:t>
            </w:r>
          </w:p>
          <w:p w:rsidR="00F905CB" w:rsidRPr="00F905CB" w:rsidRDefault="00F905CB" w:rsidP="00F905CB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SanitärSilicon</w:t>
            </w:r>
          </w:p>
          <w:p w:rsidR="00F905CB" w:rsidRPr="00F905CB" w:rsidRDefault="00F905CB" w:rsidP="00CF5E80">
            <w:pPr>
              <w:ind w:left="74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- Sopro Primer UW 025</w:t>
            </w:r>
          </w:p>
          <w:p w:rsidR="00F905CB" w:rsidRPr="00F905CB" w:rsidRDefault="00F905CB" w:rsidP="00F905C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5CB" w:rsidRPr="00F905CB" w:rsidRDefault="00F905CB" w:rsidP="00F905C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905CB" w:rsidRPr="00F905CB" w:rsidRDefault="00F905CB" w:rsidP="00F905CB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03" w:rsidRDefault="000F5103">
      <w:r>
        <w:separator/>
      </w:r>
    </w:p>
  </w:endnote>
  <w:endnote w:type="continuationSeparator" w:id="0">
    <w:p w:rsidR="000F5103" w:rsidRDefault="000F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C" w:rsidRDefault="008E79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67" w:rsidRDefault="00035967">
    <w:pPr>
      <w:pStyle w:val="Fuzeile"/>
      <w:rPr>
        <w:rStyle w:val="Seitenzahl"/>
        <w:sz w:val="18"/>
      </w:rPr>
    </w:pPr>
  </w:p>
  <w:p w:rsidR="00035967" w:rsidRDefault="00035967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9A0C2A">
      <w:rPr>
        <w:rStyle w:val="Seitenzahl"/>
        <w:noProof/>
        <w:sz w:val="18"/>
      </w:rPr>
      <w:t>7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C" w:rsidRDefault="008E79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03" w:rsidRDefault="000F5103">
      <w:r>
        <w:separator/>
      </w:r>
    </w:p>
  </w:footnote>
  <w:footnote w:type="continuationSeparator" w:id="0">
    <w:p w:rsidR="000F5103" w:rsidRDefault="000F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C" w:rsidRDefault="008E79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67" w:rsidRDefault="00035967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21CF0871" wp14:editId="1E83A847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967" w:rsidRDefault="009A0C2A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035967" w:rsidRDefault="00035967">
                <w:r>
                  <w:t>Anschrift:</w:t>
                </w:r>
              </w:p>
              <w:p w:rsidR="00035967" w:rsidRDefault="00035967"/>
              <w:p w:rsidR="00035967" w:rsidRDefault="00035967"/>
              <w:p w:rsidR="00035967" w:rsidRDefault="00035967"/>
              <w:p w:rsidR="00035967" w:rsidRDefault="00035967"/>
            </w:txbxContent>
          </v:textbox>
        </v:shape>
      </w:pict>
    </w:r>
  </w:p>
  <w:p w:rsidR="00035967" w:rsidRDefault="00035967" w:rsidP="00312701">
    <w:pPr>
      <w:pStyle w:val="Kopfzeile"/>
    </w:pPr>
  </w:p>
  <w:p w:rsidR="00035967" w:rsidRDefault="00035967" w:rsidP="00312701">
    <w:pPr>
      <w:pStyle w:val="Kopfzeile"/>
    </w:pPr>
  </w:p>
  <w:p w:rsidR="00035967" w:rsidRDefault="00035967" w:rsidP="00312701">
    <w:pPr>
      <w:pStyle w:val="Kopfzeile"/>
    </w:pPr>
  </w:p>
  <w:p w:rsidR="00035967" w:rsidRDefault="009A0C2A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035967" w:rsidRPr="0087181C" w:rsidRDefault="00035967" w:rsidP="0087181C">
                <w:r>
                  <w:t>BV</w:t>
                </w:r>
                <w:r w:rsidRPr="0087181C">
                  <w:t>:</w:t>
                </w:r>
              </w:p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</w:txbxContent>
          </v:textbox>
        </v:shape>
      </w:pict>
    </w:r>
  </w:p>
  <w:p w:rsidR="00035967" w:rsidRDefault="009A0C2A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BE7375" w:rsidRPr="00BE7375" w:rsidRDefault="00BE7375" w:rsidP="00BE7375">
                <w:pPr>
                  <w:rPr>
                    <w:b/>
                  </w:rPr>
                </w:pPr>
                <w:r w:rsidRPr="00BE7375">
                  <w:rPr>
                    <w:b/>
                  </w:rPr>
                  <w:t>Muster-Leistungsverzeichnis - Estrich-, Abdichtungs- und Fliesenarbeiten</w:t>
                </w:r>
              </w:p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</w:txbxContent>
          </v:textbox>
        </v:shape>
      </w:pict>
    </w:r>
  </w:p>
  <w:p w:rsidR="00035967" w:rsidRDefault="00035967" w:rsidP="00312701">
    <w:pPr>
      <w:pStyle w:val="Kopfzeile"/>
      <w:rPr>
        <w:b/>
        <w:sz w:val="24"/>
      </w:rPr>
    </w:pPr>
  </w:p>
  <w:p w:rsidR="00035967" w:rsidRDefault="00035967" w:rsidP="00312701">
    <w:pPr>
      <w:pStyle w:val="Kopfzeile"/>
      <w:rPr>
        <w:b/>
        <w:sz w:val="24"/>
      </w:rPr>
    </w:pPr>
  </w:p>
  <w:p w:rsidR="00035967" w:rsidRDefault="009A0C2A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BE7375" w:rsidRPr="00BF496D" w:rsidRDefault="00BE7375" w:rsidP="00BE7375">
                <w:pPr>
                  <w:pStyle w:val="berschrift5"/>
                  <w:rPr>
                    <w:i w:val="0"/>
                  </w:rPr>
                </w:pPr>
                <w:r w:rsidRPr="00AA34B5">
                  <w:rPr>
                    <w:i w:val="0"/>
                  </w:rPr>
                  <w:t>Bauteil:</w:t>
                </w:r>
                <w:r w:rsidR="008E792C">
                  <w:rPr>
                    <w:i w:val="0"/>
                  </w:rPr>
                  <w:t xml:space="preserve"> Schwimmbecken </w:t>
                </w:r>
                <w:r>
                  <w:rPr>
                    <w:i w:val="0"/>
                  </w:rPr>
                  <w:t>BK B, zementär</w:t>
                </w:r>
              </w:p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  <w:p w:rsidR="00035967" w:rsidRDefault="00035967" w:rsidP="0087181C"/>
            </w:txbxContent>
          </v:textbox>
        </v:shape>
      </w:pict>
    </w:r>
  </w:p>
  <w:p w:rsidR="00035967" w:rsidRPr="00B47D01" w:rsidRDefault="00035967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035967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035967" w:rsidRDefault="00035967" w:rsidP="00214757">
          <w:pPr>
            <w:jc w:val="center"/>
            <w:rPr>
              <w:b/>
              <w:sz w:val="18"/>
            </w:rPr>
          </w:pPr>
        </w:p>
        <w:p w:rsidR="00035967" w:rsidRDefault="00035967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035967" w:rsidRDefault="00035967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035967" w:rsidRDefault="00035967" w:rsidP="00214757">
          <w:pPr>
            <w:jc w:val="center"/>
            <w:rPr>
              <w:b/>
              <w:sz w:val="18"/>
            </w:rPr>
          </w:pPr>
        </w:p>
        <w:p w:rsidR="00035967" w:rsidRDefault="00035967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035967" w:rsidRDefault="00035967" w:rsidP="00214757">
          <w:pPr>
            <w:jc w:val="center"/>
            <w:rPr>
              <w:b/>
              <w:sz w:val="18"/>
            </w:rPr>
          </w:pPr>
        </w:p>
        <w:p w:rsidR="00035967" w:rsidRDefault="00035967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035967" w:rsidRDefault="00035967" w:rsidP="00214757">
          <w:pPr>
            <w:jc w:val="center"/>
            <w:rPr>
              <w:b/>
              <w:sz w:val="18"/>
            </w:rPr>
          </w:pPr>
        </w:p>
        <w:p w:rsidR="00035967" w:rsidRDefault="00035967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035967" w:rsidRDefault="00035967" w:rsidP="00214757">
          <w:pPr>
            <w:jc w:val="center"/>
            <w:rPr>
              <w:b/>
              <w:sz w:val="18"/>
            </w:rPr>
          </w:pPr>
        </w:p>
        <w:p w:rsidR="00035967" w:rsidRDefault="00035967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035967" w:rsidRDefault="00035967" w:rsidP="00214757">
          <w:pPr>
            <w:jc w:val="center"/>
            <w:rPr>
              <w:b/>
              <w:sz w:val="18"/>
            </w:rPr>
          </w:pPr>
        </w:p>
      </w:tc>
    </w:tr>
  </w:tbl>
  <w:p w:rsidR="00035967" w:rsidRPr="00B47D01" w:rsidRDefault="009A0C2A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035967" w:rsidRDefault="00035967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035967" w:rsidRDefault="00035967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035967" w:rsidRDefault="00035967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C" w:rsidRDefault="008E79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BA9"/>
    <w:multiLevelType w:val="hybridMultilevel"/>
    <w:tmpl w:val="4572BA5A"/>
    <w:lvl w:ilvl="0" w:tplc="2C0AFA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7E64035B"/>
    <w:multiLevelType w:val="hybridMultilevel"/>
    <w:tmpl w:val="284A0EA2"/>
    <w:lvl w:ilvl="0" w:tplc="CBEA8BA8"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103"/>
    <w:rsid w:val="00012400"/>
    <w:rsid w:val="00022472"/>
    <w:rsid w:val="00030266"/>
    <w:rsid w:val="0003345B"/>
    <w:rsid w:val="00035967"/>
    <w:rsid w:val="00066F54"/>
    <w:rsid w:val="00080139"/>
    <w:rsid w:val="000A50E6"/>
    <w:rsid w:val="000E5771"/>
    <w:rsid w:val="000E7641"/>
    <w:rsid w:val="000F01B5"/>
    <w:rsid w:val="000F40B3"/>
    <w:rsid w:val="000F5103"/>
    <w:rsid w:val="000F64E1"/>
    <w:rsid w:val="00103ABD"/>
    <w:rsid w:val="001078E9"/>
    <w:rsid w:val="00127698"/>
    <w:rsid w:val="0016507A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55648"/>
    <w:rsid w:val="00380271"/>
    <w:rsid w:val="0038775C"/>
    <w:rsid w:val="003A48F4"/>
    <w:rsid w:val="003A5429"/>
    <w:rsid w:val="003B4141"/>
    <w:rsid w:val="003C4489"/>
    <w:rsid w:val="003D3E3A"/>
    <w:rsid w:val="003E2E67"/>
    <w:rsid w:val="003E54C3"/>
    <w:rsid w:val="003F7A50"/>
    <w:rsid w:val="0040229D"/>
    <w:rsid w:val="00414042"/>
    <w:rsid w:val="00446C54"/>
    <w:rsid w:val="004648BC"/>
    <w:rsid w:val="0047517F"/>
    <w:rsid w:val="00493EB1"/>
    <w:rsid w:val="004B067D"/>
    <w:rsid w:val="004C4768"/>
    <w:rsid w:val="004E4CF4"/>
    <w:rsid w:val="005170ED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0C4B"/>
    <w:rsid w:val="006116F1"/>
    <w:rsid w:val="00645289"/>
    <w:rsid w:val="00646B87"/>
    <w:rsid w:val="00650FB3"/>
    <w:rsid w:val="0065256D"/>
    <w:rsid w:val="006638BD"/>
    <w:rsid w:val="00685845"/>
    <w:rsid w:val="006C4E7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152C"/>
    <w:rsid w:val="007E3340"/>
    <w:rsid w:val="007F2FB4"/>
    <w:rsid w:val="007F6092"/>
    <w:rsid w:val="0080329B"/>
    <w:rsid w:val="0082060E"/>
    <w:rsid w:val="00823808"/>
    <w:rsid w:val="00830390"/>
    <w:rsid w:val="0087181C"/>
    <w:rsid w:val="00876073"/>
    <w:rsid w:val="008779C7"/>
    <w:rsid w:val="00881CB2"/>
    <w:rsid w:val="008A1C78"/>
    <w:rsid w:val="008A42C4"/>
    <w:rsid w:val="008C7FD9"/>
    <w:rsid w:val="008E792C"/>
    <w:rsid w:val="00904FD6"/>
    <w:rsid w:val="00907C2D"/>
    <w:rsid w:val="009167F7"/>
    <w:rsid w:val="00940FA4"/>
    <w:rsid w:val="009464C3"/>
    <w:rsid w:val="00970959"/>
    <w:rsid w:val="009767A0"/>
    <w:rsid w:val="009A0B8A"/>
    <w:rsid w:val="009A0C2A"/>
    <w:rsid w:val="009F33BF"/>
    <w:rsid w:val="00A32296"/>
    <w:rsid w:val="00A40F6B"/>
    <w:rsid w:val="00A44A3F"/>
    <w:rsid w:val="00A512E3"/>
    <w:rsid w:val="00A60FBD"/>
    <w:rsid w:val="00A64C61"/>
    <w:rsid w:val="00A72BA3"/>
    <w:rsid w:val="00A85A65"/>
    <w:rsid w:val="00AA084B"/>
    <w:rsid w:val="00AA78F5"/>
    <w:rsid w:val="00AB253B"/>
    <w:rsid w:val="00AD1A60"/>
    <w:rsid w:val="00B20B5D"/>
    <w:rsid w:val="00B24559"/>
    <w:rsid w:val="00B24E17"/>
    <w:rsid w:val="00B36C29"/>
    <w:rsid w:val="00B37AB9"/>
    <w:rsid w:val="00B47D01"/>
    <w:rsid w:val="00B72536"/>
    <w:rsid w:val="00B77D90"/>
    <w:rsid w:val="00BA77A5"/>
    <w:rsid w:val="00BB3EE0"/>
    <w:rsid w:val="00BB3FE7"/>
    <w:rsid w:val="00BE4541"/>
    <w:rsid w:val="00BE7375"/>
    <w:rsid w:val="00BF43BE"/>
    <w:rsid w:val="00C022C6"/>
    <w:rsid w:val="00C061BA"/>
    <w:rsid w:val="00C73C33"/>
    <w:rsid w:val="00C806A2"/>
    <w:rsid w:val="00C876FC"/>
    <w:rsid w:val="00C94C7F"/>
    <w:rsid w:val="00CB692E"/>
    <w:rsid w:val="00CC0BD2"/>
    <w:rsid w:val="00CD4B2F"/>
    <w:rsid w:val="00CE0862"/>
    <w:rsid w:val="00CE3372"/>
    <w:rsid w:val="00CF5E80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0144B"/>
    <w:rsid w:val="00E16E99"/>
    <w:rsid w:val="00E259BB"/>
    <w:rsid w:val="00E309BA"/>
    <w:rsid w:val="00E35F97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5CB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A41DEE47-50D0-444F-954F-D5C8964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F085-CC09-4682-90C0-CF6261E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1672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2017-05-08T09:31:00Z</dcterms:created>
  <dcterms:modified xsi:type="dcterms:W3CDTF">2017-10-23T14:28:00Z</dcterms:modified>
</cp:coreProperties>
</file>