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826AF" w:rsidRPr="00C86D34" w:rsidTr="009A7C1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826AF" w:rsidRPr="00C86D34" w:rsidRDefault="00F826AF" w:rsidP="009A7C1F">
            <w:pPr>
              <w:ind w:left="71"/>
              <w:rPr>
                <w:b/>
                <w:sz w:val="16"/>
              </w:rPr>
            </w:pPr>
          </w:p>
          <w:p w:rsidR="00F826AF" w:rsidRPr="00C86D34" w:rsidRDefault="00F826AF" w:rsidP="00504012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9A7C1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ind w:left="71"/>
              <w:rPr>
                <w:sz w:val="16"/>
              </w:rPr>
            </w:pPr>
          </w:p>
          <w:p w:rsidR="00F826AF" w:rsidRPr="00C86D34" w:rsidRDefault="00F826AF" w:rsidP="00504012">
            <w:pPr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Reinigen des Untergrundes von haftungsmindernden Stoffen, Staubreste gründlich absaugen. Material aufnehmen und entsorgen. </w:t>
            </w:r>
          </w:p>
          <w:p w:rsidR="00F826AF" w:rsidRPr="00C86D34" w:rsidRDefault="00F826AF" w:rsidP="009A7C1F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9A7C1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826AF" w:rsidRPr="00C86D34" w:rsidRDefault="00F826AF" w:rsidP="009A7C1F">
            <w:pPr>
              <w:ind w:left="71"/>
              <w:rPr>
                <w:b/>
                <w:sz w:val="16"/>
              </w:rPr>
            </w:pPr>
          </w:p>
          <w:p w:rsidR="00F826AF" w:rsidRPr="00C86D34" w:rsidRDefault="00F826AF" w:rsidP="00504012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Gefällespachtelung: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9A7C1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ind w:left="71" w:right="1064"/>
              <w:rPr>
                <w:sz w:val="16"/>
              </w:rPr>
            </w:pPr>
          </w:p>
          <w:p w:rsidR="00F826AF" w:rsidRPr="00C86D34" w:rsidRDefault="00F826AF" w:rsidP="009A7C1F">
            <w:pPr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Gefällespachtelung mit hydraulisch </w:t>
            </w:r>
            <w:r>
              <w:rPr>
                <w:sz w:val="16"/>
              </w:rPr>
              <w:t>schnell erhärtender</w:t>
            </w:r>
            <w:r w:rsidRPr="00C86D34">
              <w:rPr>
                <w:sz w:val="16"/>
              </w:rPr>
              <w:t>, standfester Spa</w:t>
            </w:r>
            <w:r w:rsidR="00364082">
              <w:rPr>
                <w:sz w:val="16"/>
              </w:rPr>
              <w:t>chtelmasse (für Schichtstärken 3</w:t>
            </w:r>
            <w:r w:rsidRPr="00C86D34">
              <w:rPr>
                <w:sz w:val="16"/>
              </w:rPr>
              <w:t>-30</w:t>
            </w:r>
            <w:r w:rsidR="00364082">
              <w:rPr>
                <w:sz w:val="16"/>
              </w:rPr>
              <w:t xml:space="preserve"> </w:t>
            </w:r>
            <w:r w:rsidRPr="00C86D34">
              <w:rPr>
                <w:sz w:val="16"/>
              </w:rPr>
              <w:t>mm) herstellen. Vorbehandlung des Untergrundes mit Kunstharzemulsion zur Verbesserung des Haftverbunds. Verarbeitung von Spachtelmasse mit Kunstharzemulsion frisch in frisch. Spachtelmasse glatt abziehen.</w:t>
            </w:r>
          </w:p>
          <w:p w:rsidR="00F826AF" w:rsidRPr="00C86D34" w:rsidRDefault="00F826AF" w:rsidP="009A7C1F">
            <w:pPr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Schichtdicke im Mittel ______mm. Gefälle _____%. </w:t>
            </w:r>
          </w:p>
          <w:p w:rsidR="00F826AF" w:rsidRPr="00C86D34" w:rsidRDefault="00F826AF" w:rsidP="009A7C1F">
            <w:pPr>
              <w:ind w:left="71" w:right="1064"/>
              <w:jc w:val="both"/>
              <w:rPr>
                <w:sz w:val="16"/>
              </w:rPr>
            </w:pPr>
          </w:p>
          <w:p w:rsidR="00504012" w:rsidRDefault="00F826AF" w:rsidP="009A7C1F">
            <w:pPr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504012" w:rsidRPr="00E87860" w:rsidRDefault="00E87860" w:rsidP="00504012">
            <w:pPr>
              <w:ind w:left="71" w:right="1064"/>
              <w:jc w:val="both"/>
              <w:rPr>
                <w:sz w:val="16"/>
                <w:szCs w:val="16"/>
              </w:rPr>
            </w:pPr>
            <w:r w:rsidRPr="00E87860">
              <w:rPr>
                <w:rFonts w:cs="Arial"/>
                <w:sz w:val="16"/>
                <w:szCs w:val="16"/>
              </w:rPr>
              <w:t>Sopro RAM 3</w:t>
            </w:r>
            <w:r w:rsidRPr="00E87860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E87860">
              <w:rPr>
                <w:rFonts w:cs="Arial"/>
                <w:sz w:val="16"/>
                <w:szCs w:val="16"/>
              </w:rPr>
              <w:t xml:space="preserve"> Renovier- &amp; AusgleichsMörtel 454,</w:t>
            </w:r>
          </w:p>
          <w:p w:rsidR="00F826AF" w:rsidRPr="00C86D34" w:rsidRDefault="00E87860" w:rsidP="00504012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Sopro Haftemulsion </w:t>
            </w:r>
            <w:r w:rsidR="00F826AF" w:rsidRPr="00C86D34">
              <w:rPr>
                <w:sz w:val="16"/>
              </w:rPr>
              <w:t>HE 449 oder gleichwertig.</w:t>
            </w:r>
          </w:p>
          <w:p w:rsidR="00F826AF" w:rsidRPr="00C86D34" w:rsidRDefault="00F826AF" w:rsidP="009A7C1F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9A7C1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F826AF" w:rsidRPr="00C86D34" w:rsidRDefault="00F826AF" w:rsidP="00504012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Grundieren: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504012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Aufbringen einer Grundierung auf Kunstharzbasis auf saugfähigen Untergründen als Vorbehandlung für die Aufnahme des nachfolgenden Dünnbettmörtel- bzw. Verbundabdichtungssystems. Grundierung trocknen lassen.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04012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F826AF" w:rsidRPr="00C86D34" w:rsidRDefault="00E87860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Grundierung GD 749</w:t>
            </w:r>
            <w:r w:rsidR="00F826AF" w:rsidRPr="00C86D34">
              <w:rPr>
                <w:sz w:val="16"/>
              </w:rPr>
              <w:t xml:space="preserve"> oder gleichwertig.</w:t>
            </w:r>
          </w:p>
          <w:p w:rsidR="00F826AF" w:rsidRPr="00C86D34" w:rsidRDefault="00F826AF" w:rsidP="009A7C1F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9A7C1F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826AF" w:rsidRPr="00C86D34" w:rsidRDefault="00F826AF" w:rsidP="009A7C1F">
            <w:pPr>
              <w:ind w:left="71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Eventualposition:</w:t>
            </w:r>
          </w:p>
          <w:p w:rsidR="00F826AF" w:rsidRPr="00504012" w:rsidRDefault="00F826AF" w:rsidP="00504012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C86D34">
              <w:rPr>
                <w:rFonts w:cs="Arial"/>
                <w:b/>
                <w:sz w:val="16"/>
                <w:szCs w:val="16"/>
              </w:rPr>
              <w:t>Feinspachtelung: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504012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F826AF" w:rsidRPr="00C86D34" w:rsidRDefault="00F826AF" w:rsidP="009A7C1F">
            <w:pPr>
              <w:autoSpaceDE w:val="0"/>
              <w:autoSpaceDN w:val="0"/>
              <w:adjustRightInd w:val="0"/>
              <w:ind w:left="74" w:right="1064"/>
              <w:jc w:val="both"/>
              <w:rPr>
                <w:sz w:val="16"/>
              </w:rPr>
            </w:pPr>
            <w:r w:rsidRPr="00C86D34">
              <w:rPr>
                <w:rFonts w:cs="Arial"/>
                <w:sz w:val="16"/>
                <w:szCs w:val="16"/>
              </w:rPr>
              <w:t>Herstellen einer Feinspachtelung (Schichtdicke 1-5</w:t>
            </w:r>
            <w:r w:rsidR="00364082">
              <w:rPr>
                <w:rFonts w:cs="Arial"/>
                <w:sz w:val="16"/>
                <w:szCs w:val="16"/>
              </w:rPr>
              <w:t xml:space="preserve"> </w:t>
            </w:r>
            <w:r w:rsidRPr="00C86D34">
              <w:rPr>
                <w:rFonts w:cs="Arial"/>
                <w:sz w:val="16"/>
                <w:szCs w:val="16"/>
              </w:rPr>
              <w:t xml:space="preserve">mm) zum Schließen von kleinen Poren und Lunkern, mit hydraulisch erhärtendem, flexiblem Dünnbettmörtel für die Aufnahme </w:t>
            </w:r>
            <w:r w:rsidRPr="00C86D34">
              <w:rPr>
                <w:sz w:val="16"/>
              </w:rPr>
              <w:t xml:space="preserve">des nachfolgenden Verbundabdichtungssystems </w:t>
            </w:r>
            <w:r w:rsidRPr="00C86D34">
              <w:rPr>
                <w:rFonts w:cs="Arial"/>
                <w:sz w:val="16"/>
                <w:szCs w:val="16"/>
              </w:rPr>
              <w:t>auf Wand- oder Bodenflächen.</w:t>
            </w:r>
          </w:p>
          <w:p w:rsidR="00F826AF" w:rsidRPr="00C86D34" w:rsidRDefault="00F826AF" w:rsidP="009A7C1F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E87860" w:rsidRDefault="00F826AF" w:rsidP="00504012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C86D34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826AF" w:rsidRPr="00E87860" w:rsidRDefault="00E87860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E87860">
              <w:rPr>
                <w:rFonts w:cs="Arial"/>
                <w:sz w:val="16"/>
                <w:szCs w:val="16"/>
              </w:rPr>
              <w:t xml:space="preserve">Sopro's No.1 Flexkleber 400 </w:t>
            </w:r>
            <w:r w:rsidR="00F826AF" w:rsidRPr="00E87860">
              <w:rPr>
                <w:sz w:val="16"/>
                <w:szCs w:val="16"/>
              </w:rPr>
              <w:t>oder gleichwertig.</w:t>
            </w:r>
          </w:p>
          <w:p w:rsidR="00504012" w:rsidRPr="00C86D34" w:rsidRDefault="00504012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504012" w:rsidRDefault="005040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826AF" w:rsidRPr="00C86D34" w:rsidTr="009A7C1F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9A7C1F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Eventualposition:</w:t>
            </w:r>
          </w:p>
          <w:p w:rsidR="00F826AF" w:rsidRPr="00504012" w:rsidRDefault="00F826AF" w:rsidP="00504012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Abdichten von Bewegungs- und Anschlussfugen, Ecken: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9A7C1F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1479"/>
              </w:tabs>
              <w:ind w:left="71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Hochelastisches, gewebekaschiertes Sicherheitsdichtband sowie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vorgefertigte Innen- und Außenecken über Anschluss- und Bewegungsfugen sowie Wandecken mit Verbundabdichtungs-material fixieren und vollständig überdecken. Stöße überlappend ausführen. 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04012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504012" w:rsidRPr="00504012" w:rsidRDefault="00504012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504012">
              <w:rPr>
                <w:rFonts w:cs="Arial"/>
                <w:sz w:val="16"/>
                <w:szCs w:val="16"/>
              </w:rPr>
              <w:t>Sopro Dichtband DB 438</w:t>
            </w:r>
            <w:r w:rsidRPr="00504012">
              <w:rPr>
                <w:sz w:val="16"/>
                <w:szCs w:val="16"/>
              </w:rPr>
              <w:t>,</w:t>
            </w:r>
          </w:p>
          <w:p w:rsidR="00F826AF" w:rsidRPr="00504012" w:rsidRDefault="00504012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504012">
              <w:rPr>
                <w:rFonts w:cs="Arial"/>
                <w:sz w:val="16"/>
                <w:szCs w:val="16"/>
              </w:rPr>
              <w:t>Sopro Dichtecke innen/außen DE 014/015</w:t>
            </w:r>
            <w:r w:rsidRPr="00504012">
              <w:rPr>
                <w:sz w:val="16"/>
                <w:szCs w:val="16"/>
              </w:rPr>
              <w:t xml:space="preserve"> </w:t>
            </w:r>
            <w:r w:rsidR="00F826AF" w:rsidRPr="00504012">
              <w:rPr>
                <w:sz w:val="16"/>
                <w:szCs w:val="16"/>
              </w:rPr>
              <w:t>oder gleichwertig.</w:t>
            </w:r>
          </w:p>
          <w:p w:rsidR="00F826AF" w:rsidRPr="00C86D34" w:rsidRDefault="00F826AF" w:rsidP="009A7C1F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9A7C1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</w:t>
            </w:r>
            <w:r w:rsidR="00E87860">
              <w:rPr>
                <w:sz w:val="16"/>
              </w:rPr>
              <w:t>6</w:t>
            </w:r>
            <w:r w:rsidRPr="00C86D34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504012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Flächenabdichtung: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504012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1205"/>
              </w:tabs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2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Bodenflächen, einschließlich Sockelbereich mit flexibler, zementärer Dichtschlämme in mind. zwei Arbeitsgängen im Spachtelverfahren beschichten. Sockelbereiche sind bis auf 15</w:t>
            </w:r>
            <w:r>
              <w:rPr>
                <w:sz w:val="16"/>
              </w:rPr>
              <w:t xml:space="preserve"> </w:t>
            </w:r>
            <w:r w:rsidRPr="00C86D34">
              <w:rPr>
                <w:sz w:val="16"/>
              </w:rPr>
              <w:t>cm ü</w:t>
            </w:r>
            <w:r>
              <w:rPr>
                <w:sz w:val="16"/>
              </w:rPr>
              <w:t xml:space="preserve">. </w:t>
            </w:r>
            <w:r w:rsidRPr="00C86D34">
              <w:rPr>
                <w:sz w:val="16"/>
              </w:rPr>
              <w:t>OKFFB abzudichten. Der Auftrag jeder Schicht muss fehlstellenfrei und in gleichmäßiger Dicke erfolgen. Aufträge jeweils trocknen lassen. Gesamt-Trockenschichtstärke mind. 2,0</w:t>
            </w:r>
            <w:r>
              <w:rPr>
                <w:sz w:val="16"/>
              </w:rPr>
              <w:t xml:space="preserve"> </w:t>
            </w:r>
            <w:r w:rsidRPr="00C86D34">
              <w:rPr>
                <w:sz w:val="16"/>
              </w:rPr>
              <w:t>mm.</w:t>
            </w:r>
          </w:p>
          <w:p w:rsidR="00F826AF" w:rsidRPr="00C86D34" w:rsidRDefault="00F826AF" w:rsidP="009A7C1F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  <w:p w:rsidR="00504012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F826AF" w:rsidRPr="00C86D34" w:rsidRDefault="00504012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4012">
              <w:rPr>
                <w:sz w:val="16"/>
              </w:rPr>
              <w:t>Sopro DichtSchlämme Flex 1-K DSF</w:t>
            </w:r>
            <w:r w:rsidRPr="00504012">
              <w:rPr>
                <w:rFonts w:cs="Arial"/>
                <w:sz w:val="16"/>
                <w:vertAlign w:val="superscript"/>
              </w:rPr>
              <w:t>®</w:t>
            </w:r>
            <w:r w:rsidRPr="00504012">
              <w:rPr>
                <w:sz w:val="16"/>
              </w:rPr>
              <w:t xml:space="preserve"> 523</w:t>
            </w:r>
            <w:r w:rsidR="00F826AF" w:rsidRPr="00C86D34">
              <w:rPr>
                <w:sz w:val="16"/>
              </w:rPr>
              <w:t xml:space="preserve"> oder gleichwertig.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9A7C1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</w:t>
            </w:r>
            <w:r w:rsidR="00E87860">
              <w:rPr>
                <w:sz w:val="16"/>
              </w:rPr>
              <w:t>7</w:t>
            </w:r>
            <w:r w:rsidRPr="00C86D34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504012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Drainagematte verlegen: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504012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1205"/>
              </w:tabs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  <w:tab w:val="left" w:pos="4774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Verlegen einer Drainagematte aus Polyethylen und Filtervlies (</w:t>
            </w:r>
            <w:r w:rsidR="00504012">
              <w:rPr>
                <w:sz w:val="16"/>
              </w:rPr>
              <w:t xml:space="preserve">Dicke </w:t>
            </w:r>
            <w:r w:rsidRPr="00C86D34">
              <w:rPr>
                <w:sz w:val="16"/>
              </w:rPr>
              <w:t>mm) als Schutz- und Drainageschicht auf dem abgedichteten Untergrund mit Gefälle, für einen anschließenden Drainagemörtelaufbau in einer Mindestschichtdicke von 50</w:t>
            </w:r>
            <w:r w:rsidR="00504012">
              <w:rPr>
                <w:sz w:val="16"/>
              </w:rPr>
              <w:t xml:space="preserve"> </w:t>
            </w:r>
            <w:r w:rsidRPr="00C86D34">
              <w:rPr>
                <w:sz w:val="16"/>
              </w:rPr>
              <w:t xml:space="preserve">mm. </w:t>
            </w:r>
          </w:p>
          <w:p w:rsidR="00F826AF" w:rsidRPr="00C86D34" w:rsidRDefault="00F826AF" w:rsidP="009A7C1F">
            <w:pPr>
              <w:tabs>
                <w:tab w:val="left" w:pos="1205"/>
                <w:tab w:val="left" w:pos="4774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Stöße überlappend ausführen.</w:t>
            </w:r>
          </w:p>
          <w:p w:rsidR="00F826AF" w:rsidRPr="00C86D34" w:rsidRDefault="00F826AF" w:rsidP="009A7C1F">
            <w:pPr>
              <w:tabs>
                <w:tab w:val="left" w:pos="1205"/>
                <w:tab w:val="left" w:pos="4774"/>
              </w:tabs>
              <w:ind w:left="71" w:right="1064"/>
              <w:jc w:val="both"/>
              <w:rPr>
                <w:sz w:val="16"/>
              </w:rPr>
            </w:pPr>
          </w:p>
          <w:p w:rsidR="00504012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F826AF" w:rsidRPr="00C86D34" w:rsidRDefault="00504012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860">
              <w:rPr>
                <w:rFonts w:cs="Arial"/>
                <w:sz w:val="16"/>
                <w:szCs w:val="16"/>
              </w:rPr>
              <w:t>Sopro DrainageMatte DRM 653</w:t>
            </w:r>
            <w:r w:rsidR="00F826AF" w:rsidRPr="00E87860">
              <w:rPr>
                <w:sz w:val="16"/>
                <w:szCs w:val="16"/>
              </w:rPr>
              <w:t xml:space="preserve"> oder </w:t>
            </w:r>
            <w:r w:rsidR="00F826AF" w:rsidRPr="00C86D34">
              <w:rPr>
                <w:sz w:val="16"/>
              </w:rPr>
              <w:t>gleichwertig.</w:t>
            </w:r>
          </w:p>
          <w:p w:rsidR="00F826AF" w:rsidRPr="00C86D34" w:rsidRDefault="00F826AF" w:rsidP="00504012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9A7C1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  <w:r w:rsidRPr="00C86D34">
              <w:rPr>
                <w:sz w:val="16"/>
              </w:rPr>
              <w:t>0</w:t>
            </w:r>
            <w:r w:rsidR="00E87860">
              <w:rPr>
                <w:sz w:val="16"/>
              </w:rPr>
              <w:t>8</w:t>
            </w:r>
            <w:r w:rsidRPr="00C86D34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504012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Natursteinverleg</w:t>
            </w:r>
            <w:r w:rsidR="00504012">
              <w:rPr>
                <w:b/>
                <w:sz w:val="16"/>
              </w:rPr>
              <w:t>ung mit wasserdurchlässigem Drai</w:t>
            </w:r>
            <w:r w:rsidRPr="00C86D34">
              <w:rPr>
                <w:b/>
                <w:sz w:val="16"/>
              </w:rPr>
              <w:t>nagemörtel: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9A7C1F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Verlegung der Natursteinplatten im Drainagemörtelbett, aus trasszementgebundenem Trockenfertigmörtel mit einer Kornabstufung bis 8 mm. 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Auftragen einer Dicht- und Haftschlämme auf der Rückseite der Natursteinplatten als Schutz des Natursteins vor Durchscheineffekten und zur Erzielung des Haftverbundes. Natursteinplatten frisch in frisch in das Mörtelbett einklopfen und ausrichten.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Mörteldicke im Mittel: ______cm</w:t>
            </w:r>
          </w:p>
          <w:p w:rsidR="00F826AF" w:rsidRPr="00C86D34" w:rsidRDefault="00F826AF" w:rsidP="009A7C1F">
            <w:pPr>
              <w:ind w:left="71" w:right="1064"/>
              <w:jc w:val="both"/>
              <w:rPr>
                <w:sz w:val="16"/>
              </w:rPr>
            </w:pPr>
          </w:p>
          <w:p w:rsidR="00D57430" w:rsidRDefault="00F826AF" w:rsidP="00504012">
            <w:pPr>
              <w:ind w:left="71" w:right="1064"/>
              <w:jc w:val="both"/>
              <w:rPr>
                <w:sz w:val="16"/>
                <w:szCs w:val="16"/>
              </w:rPr>
            </w:pPr>
            <w:r w:rsidRPr="00E87860">
              <w:rPr>
                <w:sz w:val="16"/>
                <w:szCs w:val="16"/>
              </w:rPr>
              <w:t>Material</w:t>
            </w:r>
            <w:r w:rsidR="00504012" w:rsidRPr="00E87860">
              <w:rPr>
                <w:sz w:val="16"/>
                <w:szCs w:val="16"/>
              </w:rPr>
              <w:t xml:space="preserve">: </w:t>
            </w:r>
          </w:p>
          <w:p w:rsidR="00504012" w:rsidRPr="00E87860" w:rsidRDefault="00504012" w:rsidP="00504012">
            <w:pPr>
              <w:ind w:left="71" w:right="1064"/>
              <w:jc w:val="both"/>
              <w:rPr>
                <w:sz w:val="16"/>
                <w:szCs w:val="16"/>
              </w:rPr>
            </w:pPr>
            <w:r w:rsidRPr="00E87860">
              <w:rPr>
                <w:rFonts w:cs="Arial"/>
                <w:sz w:val="16"/>
                <w:szCs w:val="16"/>
              </w:rPr>
              <w:t>Sopro DrainageMörtel DM 610</w:t>
            </w:r>
            <w:r w:rsidRPr="00E87860">
              <w:rPr>
                <w:sz w:val="16"/>
                <w:szCs w:val="16"/>
              </w:rPr>
              <w:t>,</w:t>
            </w:r>
          </w:p>
          <w:p w:rsidR="00504012" w:rsidRPr="00E87860" w:rsidRDefault="00504012" w:rsidP="00504012">
            <w:pPr>
              <w:ind w:left="71" w:right="1064"/>
              <w:jc w:val="both"/>
              <w:rPr>
                <w:sz w:val="16"/>
                <w:szCs w:val="16"/>
              </w:rPr>
            </w:pPr>
            <w:r w:rsidRPr="00E87860">
              <w:rPr>
                <w:rFonts w:cs="Arial"/>
                <w:sz w:val="16"/>
                <w:szCs w:val="16"/>
              </w:rPr>
              <w:t>Sopro HaftSchlämme Flex HSF 748</w:t>
            </w:r>
            <w:r w:rsidR="00E87860">
              <w:rPr>
                <w:rFonts w:cs="Arial"/>
                <w:sz w:val="16"/>
                <w:szCs w:val="16"/>
              </w:rPr>
              <w:t>,</w:t>
            </w:r>
          </w:p>
          <w:p w:rsidR="00F826AF" w:rsidRPr="00E87860" w:rsidRDefault="00504012" w:rsidP="00504012">
            <w:pPr>
              <w:ind w:left="71" w:right="1064"/>
              <w:jc w:val="both"/>
              <w:rPr>
                <w:sz w:val="16"/>
                <w:szCs w:val="16"/>
              </w:rPr>
            </w:pPr>
            <w:r w:rsidRPr="00E87860">
              <w:rPr>
                <w:rFonts w:cs="Arial"/>
                <w:sz w:val="16"/>
                <w:szCs w:val="16"/>
              </w:rPr>
              <w:t>Sopro MarmorSchlämme MAS 418</w:t>
            </w:r>
            <w:r w:rsidR="00F826AF" w:rsidRPr="00E87860">
              <w:rPr>
                <w:sz w:val="16"/>
                <w:szCs w:val="16"/>
              </w:rPr>
              <w:t xml:space="preserve"> oder gleichwertig.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504012" w:rsidRDefault="005040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826AF" w:rsidRPr="00C86D34" w:rsidTr="009A7C1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E87860" w:rsidP="009A7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F826AF" w:rsidRPr="00C86D34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504012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Verfugung: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F826AF">
        <w:trPr>
          <w:trHeight w:val="112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ind w:left="71" w:right="1064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Die </w:t>
            </w:r>
            <w:r>
              <w:rPr>
                <w:sz w:val="16"/>
              </w:rPr>
              <w:t>Naturstein</w:t>
            </w:r>
            <w:r w:rsidRPr="00C86D34">
              <w:rPr>
                <w:sz w:val="16"/>
              </w:rPr>
              <w:t>flächen mit hydrauli</w:t>
            </w:r>
            <w:r>
              <w:rPr>
                <w:sz w:val="16"/>
              </w:rPr>
              <w:t xml:space="preserve">sch erhärtendem, trasshaltigem, </w:t>
            </w:r>
            <w:r w:rsidRPr="00C86D34">
              <w:rPr>
                <w:sz w:val="16"/>
              </w:rPr>
              <w:t xml:space="preserve">hochflexiblem Fugenmörtel verfugen. CG2 </w:t>
            </w:r>
            <w:r w:rsidR="009A0CC0">
              <w:rPr>
                <w:sz w:val="16"/>
              </w:rPr>
              <w:t xml:space="preserve">WA </w:t>
            </w:r>
            <w:r w:rsidRPr="00C86D34">
              <w:rPr>
                <w:sz w:val="16"/>
              </w:rPr>
              <w:t>nach DIN EN 13888.</w:t>
            </w:r>
          </w:p>
          <w:p w:rsidR="00F826AF" w:rsidRDefault="00F826AF" w:rsidP="009A7C1F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Fugenbreite _____mm, Fugenfarbe ______.</w:t>
            </w:r>
          </w:p>
          <w:p w:rsidR="00F826AF" w:rsidRPr="00C86D34" w:rsidRDefault="00F826AF" w:rsidP="009A7C1F">
            <w:pPr>
              <w:ind w:left="71" w:right="1064"/>
              <w:jc w:val="both"/>
              <w:rPr>
                <w:sz w:val="16"/>
              </w:rPr>
            </w:pPr>
          </w:p>
          <w:p w:rsidR="00E87860" w:rsidRDefault="00F826AF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F826AF" w:rsidRPr="00C86D34" w:rsidRDefault="009A0CC0" w:rsidP="0050401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9A0CC0">
              <w:rPr>
                <w:rFonts w:cs="Arial"/>
                <w:sz w:val="16"/>
                <w:szCs w:val="16"/>
              </w:rPr>
              <w:t>Sopro FlexFuge FL</w:t>
            </w:r>
            <w:r w:rsidRPr="009A0CC0">
              <w:rPr>
                <w:sz w:val="16"/>
                <w:szCs w:val="16"/>
              </w:rPr>
              <w:t xml:space="preserve"> plus</w:t>
            </w:r>
            <w:r w:rsidR="00F826AF" w:rsidRPr="009A0CC0">
              <w:rPr>
                <w:sz w:val="16"/>
                <w:szCs w:val="16"/>
              </w:rPr>
              <w:t xml:space="preserve"> oder</w:t>
            </w:r>
            <w:r w:rsidR="00F826AF" w:rsidRPr="00C86D34">
              <w:rPr>
                <w:sz w:val="16"/>
              </w:rPr>
              <w:t xml:space="preserve"> gleichwertig.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F826A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E87860" w:rsidP="009A7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826AF" w:rsidRPr="00C86D34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504012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Anschlussfugen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86D34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…………</w:t>
            </w:r>
          </w:p>
        </w:tc>
      </w:tr>
      <w:tr w:rsidR="00F826AF" w:rsidRPr="00C86D34" w:rsidTr="00F826AF">
        <w:trPr>
          <w:trHeight w:val="99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Anschluss- und Bewegungsfugen mit neutralvernetzendem, natursteingeeignetem, fungizid und fungistatisch eingestelltem Fugenfüllstoff verfüllen. Fugenfarbe ______.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E87860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 xml:space="preserve">Material: 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86D34">
              <w:rPr>
                <w:sz w:val="16"/>
              </w:rPr>
              <w:t>Sopro MarmorSilicon oder gleichwertig.</w:t>
            </w:r>
          </w:p>
          <w:p w:rsidR="00F826AF" w:rsidRDefault="00F826AF" w:rsidP="009A7C1F">
            <w:pPr>
              <w:tabs>
                <w:tab w:val="left" w:pos="1205"/>
              </w:tabs>
              <w:rPr>
                <w:sz w:val="16"/>
              </w:rPr>
            </w:pPr>
          </w:p>
          <w:p w:rsidR="00504012" w:rsidRPr="00C86D34" w:rsidRDefault="00504012" w:rsidP="009A7C1F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826AF" w:rsidRPr="00C86D34" w:rsidTr="00F826A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826AF" w:rsidRPr="00C86D34" w:rsidRDefault="00F826AF" w:rsidP="009A7C1F">
            <w:pPr>
              <w:ind w:left="71"/>
              <w:rPr>
                <w:b/>
                <w:sz w:val="16"/>
              </w:rPr>
            </w:pPr>
            <w:r w:rsidRPr="00C86D34">
              <w:rPr>
                <w:b/>
                <w:sz w:val="16"/>
              </w:rPr>
              <w:t>Folgende Technische Datenblätter sind bei der Verarbeitung der Produkte zu beachten:</w:t>
            </w:r>
          </w:p>
          <w:p w:rsidR="00F826AF" w:rsidRPr="00C86D34" w:rsidRDefault="00F826AF" w:rsidP="009A7C1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F826AF" w:rsidRPr="00C86D34" w:rsidTr="00F826AF">
        <w:trPr>
          <w:trHeight w:val="2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826AF" w:rsidRPr="00C86D34" w:rsidRDefault="00F826AF" w:rsidP="009A7C1F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6AF" w:rsidRPr="00504012" w:rsidRDefault="00F826AF" w:rsidP="009A7C1F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Haftemulsion HE 449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RAM 3</w:t>
            </w:r>
            <w:r w:rsidR="00504012" w:rsidRPr="00504012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504012" w:rsidRPr="00504012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Pr="00504012">
              <w:rPr>
                <w:sz w:val="16"/>
                <w:szCs w:val="16"/>
              </w:rPr>
              <w:t xml:space="preserve">  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sz w:val="16"/>
                <w:szCs w:val="16"/>
              </w:rPr>
              <w:t>Sopro DichtSchlämme Flex 1-K DSF</w:t>
            </w:r>
            <w:r w:rsidR="00504012" w:rsidRPr="00504012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504012" w:rsidRPr="00504012">
              <w:rPr>
                <w:sz w:val="16"/>
                <w:szCs w:val="16"/>
              </w:rPr>
              <w:t xml:space="preserve"> 523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Dichtband DB 438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Dichtecke innen/außen DE 014/015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Armierung AR 562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DrainageMörtel DM 610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DrainageMatte DRM 653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HaftSchlämme Flex HSF 748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MarmorSchlämme MAS 418</w:t>
            </w:r>
          </w:p>
          <w:p w:rsidR="00F826AF" w:rsidRPr="00504012" w:rsidRDefault="00F826AF" w:rsidP="009A7C1F">
            <w:pPr>
              <w:ind w:left="71"/>
              <w:rPr>
                <w:sz w:val="16"/>
                <w:szCs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9A0CC0" w:rsidRPr="009A0CC0">
              <w:rPr>
                <w:sz w:val="16"/>
                <w:szCs w:val="16"/>
              </w:rPr>
              <w:t>Sopro FlexFuge FL plus</w:t>
            </w:r>
          </w:p>
          <w:p w:rsidR="00F826AF" w:rsidRPr="00C86D34" w:rsidRDefault="00F826AF" w:rsidP="009A7C1F">
            <w:pPr>
              <w:ind w:left="71"/>
              <w:rPr>
                <w:sz w:val="16"/>
              </w:rPr>
            </w:pPr>
            <w:r w:rsidRPr="00504012">
              <w:rPr>
                <w:sz w:val="16"/>
                <w:szCs w:val="16"/>
              </w:rPr>
              <w:t xml:space="preserve">- </w:t>
            </w:r>
            <w:r w:rsidR="00504012" w:rsidRPr="00504012">
              <w:rPr>
                <w:rFonts w:cs="Arial"/>
                <w:sz w:val="16"/>
                <w:szCs w:val="16"/>
              </w:rPr>
              <w:t>Sopro MarmorSilicon</w:t>
            </w:r>
          </w:p>
          <w:p w:rsidR="00F826AF" w:rsidRPr="00C86D34" w:rsidRDefault="00F826AF" w:rsidP="009A7C1F">
            <w:pPr>
              <w:ind w:left="71"/>
              <w:rPr>
                <w:sz w:val="16"/>
                <w:szCs w:val="16"/>
              </w:rPr>
            </w:pPr>
          </w:p>
          <w:p w:rsidR="00F826AF" w:rsidRPr="00C86D34" w:rsidRDefault="00F826AF" w:rsidP="009A7C1F">
            <w:pPr>
              <w:tabs>
                <w:tab w:val="left" w:pos="1205"/>
              </w:tabs>
              <w:ind w:left="71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26AF" w:rsidRPr="00C86D34" w:rsidRDefault="00F826AF" w:rsidP="009A7C1F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826AF" w:rsidRPr="00C86D34" w:rsidRDefault="00F826AF" w:rsidP="00F826AF">
      <w:pPr>
        <w:rPr>
          <w:sz w:val="10"/>
          <w:szCs w:val="10"/>
        </w:rPr>
      </w:pPr>
    </w:p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F4" w:rsidRDefault="00F147F4">
      <w:r>
        <w:separator/>
      </w:r>
    </w:p>
  </w:endnote>
  <w:endnote w:type="continuationSeparator" w:id="0">
    <w:p w:rsidR="00F147F4" w:rsidRDefault="00F1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147F4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F4" w:rsidRDefault="00F147F4">
      <w:r>
        <w:separator/>
      </w:r>
    </w:p>
  </w:footnote>
  <w:footnote w:type="continuationSeparator" w:id="0">
    <w:p w:rsidR="00F147F4" w:rsidRDefault="00F1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08CEB4F" wp14:editId="192C2A24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F147F4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F147F4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F147F4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E87860" w:rsidRPr="00E87860" w:rsidRDefault="00E87860" w:rsidP="00E87860">
                <w:pPr>
                  <w:rPr>
                    <w:b/>
                  </w:rPr>
                </w:pPr>
                <w:r w:rsidRPr="00E87860">
                  <w:rPr>
                    <w:b/>
                  </w:rPr>
                  <w:t>Muster-Leistungsverzeichnis - Drainage-Estrich-Konstruktion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F147F4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F147F4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F4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64082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04012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9A0CC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11A0"/>
    <w:rsid w:val="00C94C7F"/>
    <w:rsid w:val="00CB692E"/>
    <w:rsid w:val="00CD4B2F"/>
    <w:rsid w:val="00CE0862"/>
    <w:rsid w:val="00CE3372"/>
    <w:rsid w:val="00CF63A8"/>
    <w:rsid w:val="00D032F2"/>
    <w:rsid w:val="00D57430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87860"/>
    <w:rsid w:val="00E94C21"/>
    <w:rsid w:val="00E957F8"/>
    <w:rsid w:val="00ED2918"/>
    <w:rsid w:val="00ED7A81"/>
    <w:rsid w:val="00EF1F5B"/>
    <w:rsid w:val="00EF6A62"/>
    <w:rsid w:val="00F00D60"/>
    <w:rsid w:val="00F01C8E"/>
    <w:rsid w:val="00F147F4"/>
    <w:rsid w:val="00F24632"/>
    <w:rsid w:val="00F430A0"/>
    <w:rsid w:val="00F50137"/>
    <w:rsid w:val="00F65C06"/>
    <w:rsid w:val="00F6798B"/>
    <w:rsid w:val="00F75CC9"/>
    <w:rsid w:val="00F826AF"/>
    <w:rsid w:val="00F850B3"/>
    <w:rsid w:val="00F8682E"/>
    <w:rsid w:val="00F908BE"/>
    <w:rsid w:val="00FA0C3F"/>
    <w:rsid w:val="00FB7DEC"/>
    <w:rsid w:val="00FC32EB"/>
    <w:rsid w:val="00FD1FE1"/>
    <w:rsid w:val="00FE678E"/>
    <w:rsid w:val="00FF6A9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094216D5-BEF0-48FA-9F83-7EECA9C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6.4%20Drainagef&#228;higes%20Verlegesystem\LV%20Mustertext%20-%20Drainagef&#228;higes%20Verlegesyste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FDCE-5A13-42B2-A71E-B9F6E86D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Drainagefähiges Verlegesystem.dotx</Template>
  <TotalTime>0</TotalTime>
  <Pages>3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1</cp:revision>
  <cp:lastPrinted>2013-07-15T14:55:00Z</cp:lastPrinted>
  <dcterms:created xsi:type="dcterms:W3CDTF">2017-09-14T14:36:00Z</dcterms:created>
  <dcterms:modified xsi:type="dcterms:W3CDTF">2017-09-14T14:36:00Z</dcterms:modified>
</cp:coreProperties>
</file>