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3A2873" w:rsidRPr="003A2873" w:rsidTr="007C71CD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  <w:p w:rsidR="003A2873" w:rsidRPr="003A2873" w:rsidRDefault="003A2873" w:rsidP="003A2873">
            <w:pPr>
              <w:jc w:val="center"/>
              <w:rPr>
                <w:sz w:val="16"/>
              </w:rPr>
            </w:pPr>
            <w:r w:rsidRPr="003A2873">
              <w:rPr>
                <w:sz w:val="16"/>
              </w:rPr>
              <w:t>010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3A2873" w:rsidRPr="003A2873" w:rsidRDefault="003A2873" w:rsidP="003A2873">
            <w:pPr>
              <w:ind w:left="71"/>
              <w:rPr>
                <w:b/>
                <w:sz w:val="16"/>
              </w:rPr>
            </w:pPr>
          </w:p>
          <w:p w:rsidR="003A2873" w:rsidRPr="003A2873" w:rsidRDefault="003A2873" w:rsidP="00A707AF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Untergründe vorbereiten: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3A2873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</w:tr>
      <w:tr w:rsidR="003A2873" w:rsidRPr="003A2873" w:rsidTr="007C71CD">
        <w:trPr>
          <w:trHeight w:val="849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ind w:left="71"/>
              <w:rPr>
                <w:sz w:val="16"/>
              </w:rPr>
            </w:pPr>
          </w:p>
          <w:p w:rsidR="003A2873" w:rsidRPr="003A2873" w:rsidRDefault="003A2873" w:rsidP="003A2873">
            <w:pPr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 xml:space="preserve">Vorstehende Mörtelreste abschlagen, Grate egalisieren. </w:t>
            </w:r>
          </w:p>
          <w:p w:rsidR="003A2873" w:rsidRPr="003A2873" w:rsidRDefault="003A2873" w:rsidP="003A2873">
            <w:pPr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>Reinigen der Untergründe (Mauerwerk/Putz/Stahlbeton) von haftungsmindernden Substanzen, Staubreste gründlich absaugen.</w:t>
            </w:r>
          </w:p>
          <w:p w:rsidR="003A2873" w:rsidRDefault="003A2873" w:rsidP="00A707AF">
            <w:pPr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 xml:space="preserve">Material aufnehmen und entsorgen. </w:t>
            </w:r>
          </w:p>
          <w:p w:rsidR="00A707AF" w:rsidRPr="003A2873" w:rsidRDefault="00A707AF" w:rsidP="00A707AF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3A2873" w:rsidRPr="003A2873" w:rsidTr="007C71CD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jc w:val="center"/>
              <w:rPr>
                <w:sz w:val="16"/>
              </w:rPr>
            </w:pPr>
            <w:r w:rsidRPr="003A2873">
              <w:rPr>
                <w:sz w:val="16"/>
              </w:rPr>
              <w:t>020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3A2873" w:rsidRPr="003A2873" w:rsidRDefault="003A2873" w:rsidP="00A707AF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Ausgleichsarbeiten: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3A2873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</w:tr>
      <w:tr w:rsidR="003A2873" w:rsidRPr="003A2873" w:rsidTr="007C71CD">
        <w:trPr>
          <w:trHeight w:val="106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3A2873" w:rsidRPr="00A707AF" w:rsidRDefault="003A2873" w:rsidP="003A28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873" w:rsidRPr="00A707AF" w:rsidRDefault="003A2873" w:rsidP="003A2873">
            <w:pPr>
              <w:tabs>
                <w:tab w:val="left" w:pos="1205"/>
              </w:tabs>
              <w:ind w:right="1064"/>
              <w:rPr>
                <w:sz w:val="16"/>
                <w:szCs w:val="16"/>
              </w:rPr>
            </w:pPr>
          </w:p>
          <w:p w:rsidR="003A2873" w:rsidRPr="00A707AF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A707AF">
              <w:rPr>
                <w:sz w:val="16"/>
                <w:szCs w:val="16"/>
              </w:rPr>
              <w:t xml:space="preserve">Vertiefungen, leere Fugen </w:t>
            </w:r>
            <w:r w:rsidRPr="00A707AF">
              <w:rPr>
                <w:rFonts w:cs="Arial"/>
                <w:sz w:val="16"/>
                <w:szCs w:val="16"/>
              </w:rPr>
              <w:t xml:space="preserve">≥ 5mm </w:t>
            </w:r>
            <w:r w:rsidRPr="00A707AF">
              <w:rPr>
                <w:sz w:val="16"/>
                <w:szCs w:val="16"/>
              </w:rPr>
              <w:t>und Ausbrüche mit hydraulisch erhärtender, trasshaltiger, standfester Spachtelmasse verfüllen und ausgleichen. Die Verarbeitung erfolgt frisch in frisch in zuvor aufgebrachte Kunststoffemulsion.</w:t>
            </w:r>
          </w:p>
          <w:p w:rsidR="003A2873" w:rsidRPr="00A707AF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</w:p>
          <w:p w:rsidR="00A707AF" w:rsidRPr="00A707AF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A707AF">
              <w:rPr>
                <w:sz w:val="16"/>
                <w:szCs w:val="16"/>
              </w:rPr>
              <w:t xml:space="preserve">Material: </w:t>
            </w:r>
          </w:p>
          <w:p w:rsidR="003A2873" w:rsidRPr="00A707AF" w:rsidRDefault="00A707AF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A707AF">
              <w:rPr>
                <w:rFonts w:cs="Arial"/>
                <w:sz w:val="16"/>
                <w:szCs w:val="16"/>
              </w:rPr>
              <w:t>Sopro RAM 3</w:t>
            </w:r>
            <w:r w:rsidRPr="00A707AF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A707AF">
              <w:rPr>
                <w:rFonts w:cs="Arial"/>
                <w:sz w:val="16"/>
                <w:szCs w:val="16"/>
              </w:rPr>
              <w:t xml:space="preserve"> Renovier- &amp; AusgleichsMörtel 454</w:t>
            </w:r>
            <w:r w:rsidRPr="00A707AF">
              <w:rPr>
                <w:sz w:val="16"/>
                <w:szCs w:val="16"/>
              </w:rPr>
              <w:t>,</w:t>
            </w:r>
          </w:p>
          <w:p w:rsidR="003A2873" w:rsidRPr="00A707AF" w:rsidRDefault="00A707AF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A707AF">
              <w:rPr>
                <w:rFonts w:cs="Arial"/>
                <w:sz w:val="16"/>
                <w:szCs w:val="16"/>
              </w:rPr>
              <w:t>Sopro Haftemulsion HE 449</w:t>
            </w:r>
            <w:r w:rsidR="003A2873" w:rsidRPr="00A707AF">
              <w:rPr>
                <w:sz w:val="16"/>
                <w:szCs w:val="16"/>
              </w:rPr>
              <w:t xml:space="preserve"> oder gleichwertig.</w:t>
            </w:r>
          </w:p>
          <w:p w:rsidR="003A2873" w:rsidRPr="00A707AF" w:rsidRDefault="003A2873" w:rsidP="003A2873">
            <w:pPr>
              <w:tabs>
                <w:tab w:val="left" w:pos="1205"/>
              </w:tabs>
              <w:ind w:right="106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3A2873" w:rsidRPr="003A2873" w:rsidTr="007C71CD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jc w:val="center"/>
              <w:rPr>
                <w:sz w:val="16"/>
              </w:rPr>
            </w:pPr>
            <w:r w:rsidRPr="003A2873">
              <w:rPr>
                <w:sz w:val="16"/>
              </w:rPr>
              <w:t>030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3A2873" w:rsidRPr="003A2873" w:rsidRDefault="003A2873" w:rsidP="003A2873">
            <w:pPr>
              <w:ind w:left="71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Eventualposition:</w:t>
            </w:r>
          </w:p>
          <w:p w:rsidR="003A2873" w:rsidRPr="003A2873" w:rsidRDefault="003A2873" w:rsidP="00A707AF">
            <w:pPr>
              <w:ind w:left="71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Zwischenabdichtung im Bereich Wandfußpunkt (Sohle) und Sockel: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3A2873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</w:tr>
      <w:tr w:rsidR="003A2873" w:rsidRPr="003A2873" w:rsidTr="003A2873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873" w:rsidRPr="003A2873" w:rsidRDefault="003A2873" w:rsidP="003A2873">
            <w:pPr>
              <w:ind w:left="71" w:right="1064"/>
              <w:rPr>
                <w:sz w:val="16"/>
              </w:rPr>
            </w:pPr>
          </w:p>
          <w:p w:rsidR="003A2873" w:rsidRPr="003A2873" w:rsidRDefault="003A2873" w:rsidP="003A2873">
            <w:pPr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>Zum Schutz der Kaltselbstklebenden Abdichtungsbahnen gegen rückseitig durchfeuchtetes Mauerwerk flexible, zementäre Dichtungsschlämme auf den mattfeucht vorgenässten Untergrund in mind. zwei Arbeitsgängen auftragen. Aufträge jeweils trocknen lassen, Gesamttrockenschichtstärke mind. 2,0</w:t>
            </w:r>
            <w:r w:rsidR="00182FF6">
              <w:rPr>
                <w:sz w:val="16"/>
              </w:rPr>
              <w:t xml:space="preserve"> </w:t>
            </w:r>
            <w:r w:rsidRPr="003A2873">
              <w:rPr>
                <w:sz w:val="16"/>
              </w:rPr>
              <w:t>mm</w:t>
            </w:r>
            <w:r w:rsidRPr="003A2873">
              <w:rPr>
                <w:rFonts w:cs="Arial"/>
                <w:sz w:val="16"/>
              </w:rPr>
              <w:t xml:space="preserve">. </w:t>
            </w:r>
            <w:r w:rsidRPr="003A2873">
              <w:rPr>
                <w:sz w:val="16"/>
              </w:rPr>
              <w:t>Höhe ab OK Wandfußpunkt ca. 50</w:t>
            </w:r>
            <w:r w:rsidR="00182FF6">
              <w:rPr>
                <w:sz w:val="16"/>
              </w:rPr>
              <w:t xml:space="preserve"> </w:t>
            </w:r>
            <w:r w:rsidRPr="003A2873">
              <w:rPr>
                <w:sz w:val="16"/>
              </w:rPr>
              <w:t xml:space="preserve">cm. </w:t>
            </w:r>
          </w:p>
          <w:p w:rsidR="003A2873" w:rsidRPr="003A2873" w:rsidRDefault="003A2873" w:rsidP="003A2873">
            <w:pPr>
              <w:ind w:right="1064"/>
              <w:jc w:val="both"/>
              <w:rPr>
                <w:sz w:val="16"/>
              </w:rPr>
            </w:pPr>
          </w:p>
          <w:p w:rsidR="00A707AF" w:rsidRDefault="003A2873" w:rsidP="003A2873">
            <w:pPr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 xml:space="preserve">Material: </w:t>
            </w:r>
          </w:p>
          <w:p w:rsidR="003A2873" w:rsidRPr="003A2873" w:rsidRDefault="00A707AF" w:rsidP="00A707AF">
            <w:pPr>
              <w:ind w:left="71" w:right="1064"/>
              <w:jc w:val="both"/>
              <w:rPr>
                <w:sz w:val="16"/>
              </w:rPr>
            </w:pPr>
            <w:r w:rsidRPr="00A707AF">
              <w:rPr>
                <w:sz w:val="16"/>
              </w:rPr>
              <w:t>Sopro DichtSchlämme Flex 1-K DSF</w:t>
            </w:r>
            <w:r w:rsidRPr="00A707AF">
              <w:rPr>
                <w:rFonts w:cs="Arial"/>
                <w:sz w:val="16"/>
                <w:vertAlign w:val="superscript"/>
              </w:rPr>
              <w:t>®</w:t>
            </w:r>
            <w:r>
              <w:rPr>
                <w:sz w:val="16"/>
              </w:rPr>
              <w:t xml:space="preserve"> 523 </w:t>
            </w:r>
            <w:r w:rsidR="003A2873" w:rsidRPr="003A2873">
              <w:rPr>
                <w:sz w:val="16"/>
              </w:rPr>
              <w:t>oder gleichwertig.</w:t>
            </w:r>
          </w:p>
          <w:p w:rsidR="003A2873" w:rsidRPr="003A2873" w:rsidRDefault="003A2873" w:rsidP="003A2873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3A2873" w:rsidRPr="003A2873" w:rsidTr="007C71CD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jc w:val="center"/>
              <w:rPr>
                <w:sz w:val="16"/>
              </w:rPr>
            </w:pPr>
            <w:r w:rsidRPr="003A2873">
              <w:rPr>
                <w:sz w:val="16"/>
              </w:rPr>
              <w:t>040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Eventualposition:</w:t>
            </w:r>
          </w:p>
          <w:p w:rsidR="003A2873" w:rsidRPr="003A2873" w:rsidRDefault="00A707AF" w:rsidP="00A707AF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Ausbildung Hohlkehle</w:t>
            </w:r>
            <w:r w:rsidR="003A2873" w:rsidRPr="003A2873">
              <w:rPr>
                <w:b/>
                <w:sz w:val="16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3A2873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</w:tr>
      <w:tr w:rsidR="003A2873" w:rsidRPr="003A2873" w:rsidTr="003A2873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873" w:rsidRPr="003A2873" w:rsidRDefault="003A2873" w:rsidP="003A2873">
            <w:pPr>
              <w:ind w:left="71" w:right="1064"/>
              <w:jc w:val="both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>Ausbilden einer Hohlkehle entlang des Wandfußpunktes (Sohle),  sowie an aufgehenden Innenecken, mit hydraulisch erhärtender, trasshaltiger, standfester Spachtelmasse. Radius ca. 4–6</w:t>
            </w:r>
            <w:r w:rsidR="009C5CB9">
              <w:rPr>
                <w:sz w:val="16"/>
              </w:rPr>
              <w:t xml:space="preserve"> </w:t>
            </w:r>
            <w:r w:rsidRPr="003A2873">
              <w:rPr>
                <w:sz w:val="16"/>
              </w:rPr>
              <w:t xml:space="preserve">cm. Die Verarbeitung erfolgt frisch in frisch in zuvor aufgebrachte Kunststoffemulsion. </w:t>
            </w:r>
          </w:p>
          <w:p w:rsidR="003A2873" w:rsidRPr="003A2873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3A2873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 xml:space="preserve">Material: </w:t>
            </w:r>
          </w:p>
          <w:p w:rsidR="00A707AF" w:rsidRPr="00A707AF" w:rsidRDefault="00A707AF" w:rsidP="00A707AF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A707AF">
              <w:rPr>
                <w:rFonts w:cs="Arial"/>
                <w:sz w:val="16"/>
                <w:szCs w:val="16"/>
              </w:rPr>
              <w:t>Sopro RAM 3</w:t>
            </w:r>
            <w:r w:rsidRPr="00A707AF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A707AF">
              <w:rPr>
                <w:rFonts w:cs="Arial"/>
                <w:sz w:val="16"/>
                <w:szCs w:val="16"/>
              </w:rPr>
              <w:t xml:space="preserve"> Renovier- &amp; AusgleichsMörtel 454</w:t>
            </w:r>
            <w:r w:rsidRPr="00A707AF">
              <w:rPr>
                <w:sz w:val="16"/>
                <w:szCs w:val="16"/>
              </w:rPr>
              <w:t>,</w:t>
            </w:r>
          </w:p>
          <w:p w:rsidR="00A707AF" w:rsidRPr="00A707AF" w:rsidRDefault="00A707AF" w:rsidP="00A707AF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A707AF">
              <w:rPr>
                <w:rFonts w:cs="Arial"/>
                <w:sz w:val="16"/>
                <w:szCs w:val="16"/>
              </w:rPr>
              <w:t>Sopro Haftemulsion HE 449</w:t>
            </w:r>
            <w:r w:rsidRPr="00A707AF">
              <w:rPr>
                <w:sz w:val="16"/>
                <w:szCs w:val="16"/>
              </w:rPr>
              <w:t xml:space="preserve"> oder gleichwertig.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3A2873" w:rsidRPr="003A2873" w:rsidTr="003A2873">
        <w:trPr>
          <w:trHeight w:val="303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jc w:val="center"/>
              <w:rPr>
                <w:sz w:val="16"/>
              </w:rPr>
            </w:pPr>
            <w:r w:rsidRPr="003A2873">
              <w:rPr>
                <w:sz w:val="16"/>
              </w:rPr>
              <w:t>050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3A2873" w:rsidRPr="003A2873" w:rsidRDefault="003A2873" w:rsidP="003A2873">
            <w:pPr>
              <w:ind w:left="71"/>
              <w:rPr>
                <w:b/>
                <w:sz w:val="16"/>
              </w:rPr>
            </w:pPr>
          </w:p>
          <w:p w:rsidR="003A2873" w:rsidRPr="003A2873" w:rsidRDefault="003A2873" w:rsidP="00A707AF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Grundieren der Boden- und Wandflächen: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3A2873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</w:tr>
      <w:tr w:rsidR="003A2873" w:rsidRPr="003A2873" w:rsidTr="00A707AF">
        <w:trPr>
          <w:trHeight w:val="1564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3A2873" w:rsidRPr="00A707AF" w:rsidRDefault="003A2873" w:rsidP="003A2873">
            <w:pPr>
              <w:jc w:val="center"/>
              <w:rPr>
                <w:sz w:val="16"/>
                <w:szCs w:val="16"/>
              </w:rPr>
            </w:pPr>
          </w:p>
          <w:p w:rsidR="003A2873" w:rsidRPr="00A707AF" w:rsidRDefault="003A2873" w:rsidP="003A28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:rsidR="003A2873" w:rsidRPr="00A707AF" w:rsidRDefault="003A2873" w:rsidP="003A2873">
            <w:pPr>
              <w:ind w:left="71" w:right="1064"/>
              <w:rPr>
                <w:sz w:val="16"/>
                <w:szCs w:val="16"/>
              </w:rPr>
            </w:pPr>
          </w:p>
          <w:p w:rsidR="003A2873" w:rsidRPr="00A707AF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A707AF">
              <w:rPr>
                <w:sz w:val="16"/>
                <w:szCs w:val="16"/>
              </w:rPr>
              <w:t xml:space="preserve">Aufbringen einer gebrauchsfertigen, lösemittelfreien Grundierung auf Bitumen-Emulsionsbasis als Vorbereitung des mineralischen Untergrundes für die nachfolgende Aufnahme von Kaltselbstklebenden Abdichtungsbahnen. </w:t>
            </w:r>
          </w:p>
          <w:p w:rsidR="003A2873" w:rsidRPr="00A707AF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A707AF">
              <w:rPr>
                <w:sz w:val="16"/>
                <w:szCs w:val="16"/>
              </w:rPr>
              <w:t>Grundierung antrocknen lassen.</w:t>
            </w:r>
          </w:p>
          <w:p w:rsidR="003A2873" w:rsidRPr="00A707AF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</w:p>
          <w:p w:rsidR="00A707AF" w:rsidRPr="00A707AF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A707AF">
              <w:rPr>
                <w:sz w:val="16"/>
                <w:szCs w:val="16"/>
              </w:rPr>
              <w:t xml:space="preserve">Material: </w:t>
            </w:r>
          </w:p>
          <w:p w:rsidR="00A707AF" w:rsidRDefault="00A707AF" w:rsidP="00A707AF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A707AF">
              <w:rPr>
                <w:rFonts w:cs="Arial"/>
                <w:sz w:val="16"/>
                <w:szCs w:val="16"/>
              </w:rPr>
              <w:t>SoproThene</w:t>
            </w:r>
            <w:r w:rsidRPr="00A707AF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A707AF">
              <w:rPr>
                <w:rFonts w:cs="Arial"/>
                <w:sz w:val="16"/>
                <w:szCs w:val="16"/>
              </w:rPr>
              <w:t xml:space="preserve"> Voranstrich 879</w:t>
            </w:r>
            <w:r w:rsidR="003A2873" w:rsidRPr="00A707AF">
              <w:rPr>
                <w:sz w:val="16"/>
                <w:szCs w:val="16"/>
              </w:rPr>
              <w:t xml:space="preserve"> oder gleichwertig.</w:t>
            </w:r>
          </w:p>
          <w:p w:rsidR="00A707AF" w:rsidRPr="00A707AF" w:rsidRDefault="00A707AF" w:rsidP="00A707AF">
            <w:pPr>
              <w:tabs>
                <w:tab w:val="left" w:pos="1205"/>
              </w:tabs>
              <w:ind w:right="1064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3A2873" w:rsidRPr="003A2873" w:rsidTr="007C71CD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A707AF" w:rsidRPr="003A2873" w:rsidRDefault="00A707AF" w:rsidP="00A707AF">
            <w:pPr>
              <w:rPr>
                <w:sz w:val="16"/>
              </w:rPr>
            </w:pPr>
          </w:p>
          <w:p w:rsidR="003A2873" w:rsidRPr="003A2873" w:rsidRDefault="003A2873" w:rsidP="003A2873">
            <w:pPr>
              <w:jc w:val="center"/>
              <w:rPr>
                <w:sz w:val="16"/>
              </w:rPr>
            </w:pPr>
            <w:r w:rsidRPr="003A2873">
              <w:rPr>
                <w:sz w:val="16"/>
              </w:rPr>
              <w:t>060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873" w:rsidRPr="003A2873" w:rsidRDefault="003A2873" w:rsidP="00A707AF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  <w:p w:rsidR="003A2873" w:rsidRPr="003A2873" w:rsidRDefault="00182FF6" w:rsidP="00A707AF">
            <w:pPr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Dicht</w:t>
            </w:r>
            <w:r w:rsidR="003A2873" w:rsidRPr="003A2873">
              <w:rPr>
                <w:b/>
                <w:sz w:val="16"/>
              </w:rPr>
              <w:t>band in Ecken und Kanten aufkleben: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3A2873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</w:tr>
      <w:tr w:rsidR="003A2873" w:rsidRPr="003A2873" w:rsidTr="007C71CD">
        <w:trPr>
          <w:trHeight w:val="106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873" w:rsidRPr="003A2873" w:rsidRDefault="003A2873" w:rsidP="003A2873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  <w:p w:rsidR="00182FF6" w:rsidRDefault="003A2873" w:rsidP="00182FF6">
            <w:pPr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>Doppelseitig selbstklebendes Verschweißungsband auf Übergängen von Wand und Boden, Innen- und Außenecken und Hohlkehlen aufkleben. Anschlüsse überlappend ausführen, dafür die Schutzfolie abziehen. Die Schutzfolie in den übrigen Bereichen erst kurz vor dem Aufkleben der KSK-Bahn entfernen.</w:t>
            </w:r>
          </w:p>
          <w:p w:rsidR="00182FF6" w:rsidRDefault="00182FF6" w:rsidP="00182FF6">
            <w:pPr>
              <w:ind w:left="71" w:right="1064"/>
              <w:jc w:val="both"/>
              <w:rPr>
                <w:sz w:val="16"/>
              </w:rPr>
            </w:pPr>
          </w:p>
          <w:p w:rsidR="00182FF6" w:rsidRDefault="003A2873" w:rsidP="00182FF6">
            <w:pPr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 xml:space="preserve">Material: </w:t>
            </w:r>
          </w:p>
          <w:p w:rsidR="003A2873" w:rsidRDefault="00182FF6" w:rsidP="00182FF6">
            <w:pPr>
              <w:ind w:left="71" w:right="1064"/>
              <w:jc w:val="both"/>
              <w:rPr>
                <w:sz w:val="16"/>
              </w:rPr>
            </w:pPr>
            <w:r w:rsidRPr="00182FF6">
              <w:rPr>
                <w:rFonts w:cs="Arial"/>
                <w:sz w:val="16"/>
                <w:szCs w:val="16"/>
              </w:rPr>
              <w:t>SoproThene</w:t>
            </w:r>
            <w:r w:rsidRPr="00182FF6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182FF6">
              <w:rPr>
                <w:rFonts w:cs="Arial"/>
                <w:sz w:val="16"/>
                <w:szCs w:val="16"/>
              </w:rPr>
              <w:t xml:space="preserve"> </w:t>
            </w:r>
            <w:r w:rsidRPr="00182FF6">
              <w:rPr>
                <w:sz w:val="16"/>
                <w:szCs w:val="16"/>
              </w:rPr>
              <w:t xml:space="preserve">Eckband </w:t>
            </w:r>
            <w:r>
              <w:rPr>
                <w:sz w:val="16"/>
              </w:rPr>
              <w:t>878</w:t>
            </w:r>
            <w:r w:rsidR="003A2873" w:rsidRPr="003A2873">
              <w:rPr>
                <w:sz w:val="16"/>
              </w:rPr>
              <w:t xml:space="preserve"> oder gleichwertig.</w:t>
            </w:r>
          </w:p>
          <w:p w:rsidR="00182FF6" w:rsidRPr="003A2873" w:rsidRDefault="00182FF6" w:rsidP="00182FF6">
            <w:pPr>
              <w:ind w:left="71" w:right="1064"/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3A2873" w:rsidRPr="003A2873" w:rsidTr="003A2873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jc w:val="center"/>
              <w:rPr>
                <w:sz w:val="16"/>
              </w:rPr>
            </w:pPr>
            <w:r w:rsidRPr="003A2873">
              <w:rPr>
                <w:sz w:val="16"/>
              </w:rPr>
              <w:t>070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FF6" w:rsidRPr="003A2873" w:rsidRDefault="00182FF6" w:rsidP="00182FF6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  <w:p w:rsidR="003A2873" w:rsidRPr="003A2873" w:rsidRDefault="003A2873" w:rsidP="003A2873">
            <w:pPr>
              <w:ind w:left="71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Rohrdurchführungen abdichten:</w:t>
            </w:r>
          </w:p>
          <w:p w:rsidR="003A2873" w:rsidRPr="003A2873" w:rsidRDefault="003A2873" w:rsidP="003A2873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3A2873">
              <w:rPr>
                <w:sz w:val="16"/>
              </w:rPr>
              <w:t>Stk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</w:tr>
      <w:tr w:rsidR="003A2873" w:rsidRPr="003A2873" w:rsidTr="003A2873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873" w:rsidRPr="003A2873" w:rsidRDefault="003A2873" w:rsidP="003A2873">
            <w:pPr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>Doppelseitig selbstklebendes Verschweißungsband an Rohrdurchführungen anarbeiten. Anschlüsse überlappend ausführen, dafür die Schutzfolie abziehen.</w:t>
            </w:r>
          </w:p>
          <w:p w:rsidR="003A2873" w:rsidRPr="003A2873" w:rsidRDefault="003A2873" w:rsidP="003A2873">
            <w:pPr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>Die Rohre sind zuvor von allen haftungsmindernden Bestandteilen zu befreien.</w:t>
            </w:r>
          </w:p>
          <w:p w:rsidR="003A2873" w:rsidRPr="003A2873" w:rsidRDefault="003A2873" w:rsidP="003A2873">
            <w:pPr>
              <w:ind w:left="71" w:right="1064"/>
              <w:jc w:val="both"/>
              <w:rPr>
                <w:sz w:val="16"/>
              </w:rPr>
            </w:pPr>
          </w:p>
          <w:p w:rsidR="00A707AF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 xml:space="preserve">Material: </w:t>
            </w:r>
          </w:p>
          <w:p w:rsidR="003A2873" w:rsidRPr="003A2873" w:rsidRDefault="00182FF6" w:rsidP="00182FF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182FF6">
              <w:rPr>
                <w:rFonts w:cs="Arial"/>
                <w:sz w:val="16"/>
                <w:szCs w:val="16"/>
              </w:rPr>
              <w:t>SoproThene</w:t>
            </w:r>
            <w:r w:rsidRPr="00182FF6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182FF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 xml:space="preserve"> Klebeband </w:t>
            </w:r>
            <w:r w:rsidR="003A2873" w:rsidRPr="003A2873">
              <w:rPr>
                <w:sz w:val="16"/>
              </w:rPr>
              <w:t>878 oder gleichwertig.</w:t>
            </w:r>
          </w:p>
          <w:p w:rsidR="003A2873" w:rsidRPr="003A2873" w:rsidRDefault="003A2873" w:rsidP="003A2873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3A2873" w:rsidRPr="003A2873" w:rsidTr="00182FF6">
        <w:trPr>
          <w:trHeight w:val="62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jc w:val="center"/>
              <w:rPr>
                <w:sz w:val="16"/>
              </w:rPr>
            </w:pPr>
            <w:r w:rsidRPr="003A2873">
              <w:rPr>
                <w:sz w:val="16"/>
              </w:rPr>
              <w:t>080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3A2873" w:rsidRPr="003A2873" w:rsidRDefault="003A2873" w:rsidP="003A2873">
            <w:pPr>
              <w:ind w:left="71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 xml:space="preserve">Flächenabdichtung mit KSK-Bahnen, </w:t>
            </w:r>
          </w:p>
          <w:p w:rsidR="003A2873" w:rsidRPr="003A2873" w:rsidRDefault="003A2873" w:rsidP="00182FF6">
            <w:pPr>
              <w:ind w:left="71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Lastfall Bodenfeuchte, nicht stauendes Sickerwasser (DIN 18195-4):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3A2873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</w:tr>
      <w:tr w:rsidR="003A2873" w:rsidRPr="003A2873" w:rsidTr="007C71CD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873" w:rsidRPr="003A2873" w:rsidRDefault="003A2873" w:rsidP="00182FF6">
            <w:pPr>
              <w:ind w:right="1064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>Abdichten der Wandflächen, Wandfußpunkten und Sockel gegen Bodenfeuchte und</w:t>
            </w:r>
            <w:r w:rsidR="009C5CB9">
              <w:rPr>
                <w:sz w:val="16"/>
              </w:rPr>
              <w:t xml:space="preserve"> nicht stauendes Sickerwasser  </w:t>
            </w:r>
            <w:r w:rsidRPr="003A2873">
              <w:rPr>
                <w:sz w:val="16"/>
              </w:rPr>
              <w:t>durch Aufkleben von passgenau zugeschnittenen kaltselbstklebenden, flexiblen, Bitumenabdichtungsbahnen.</w:t>
            </w:r>
          </w:p>
          <w:p w:rsidR="003A2873" w:rsidRPr="003A2873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>Die Bahnen auf den abzudichtenden Flächen ausrichten, vollflächig und faltenfrei verkleben und mittels Gummirolle fest andrücken, Überlappung untereinander mind. 10</w:t>
            </w:r>
            <w:r w:rsidR="009C5CB9">
              <w:rPr>
                <w:sz w:val="16"/>
              </w:rPr>
              <w:t xml:space="preserve"> </w:t>
            </w:r>
            <w:r w:rsidRPr="003A2873">
              <w:rPr>
                <w:sz w:val="16"/>
              </w:rPr>
              <w:t>cm.</w:t>
            </w:r>
          </w:p>
          <w:p w:rsidR="003A2873" w:rsidRPr="003A2873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182FF6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 xml:space="preserve">Material: </w:t>
            </w:r>
          </w:p>
          <w:p w:rsidR="003A2873" w:rsidRPr="003A2873" w:rsidRDefault="00182FF6" w:rsidP="00182FF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182FF6">
              <w:rPr>
                <w:rFonts w:cs="Arial"/>
                <w:sz w:val="16"/>
                <w:szCs w:val="16"/>
              </w:rPr>
              <w:t>SoproThene</w:t>
            </w:r>
            <w:r w:rsidRPr="00182FF6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182FF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 xml:space="preserve"> Bitumen-Abdichtungsbahn 878 </w:t>
            </w:r>
            <w:r w:rsidR="003A2873" w:rsidRPr="003A2873">
              <w:rPr>
                <w:sz w:val="16"/>
              </w:rPr>
              <w:t>oder gleichwertig.</w:t>
            </w:r>
          </w:p>
          <w:p w:rsidR="003A2873" w:rsidRPr="003A2873" w:rsidRDefault="003A2873" w:rsidP="003A2873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3A2873" w:rsidRPr="003A2873" w:rsidTr="007C71CD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jc w:val="center"/>
              <w:rPr>
                <w:sz w:val="16"/>
              </w:rPr>
            </w:pPr>
            <w:r w:rsidRPr="003A2873">
              <w:rPr>
                <w:sz w:val="16"/>
              </w:rPr>
              <w:t>090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3A2873" w:rsidRPr="003A2873" w:rsidRDefault="003A2873" w:rsidP="00182FF6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Sichtbarer Bahnenabschluss: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3A2873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</w:tr>
      <w:tr w:rsidR="003A2873" w:rsidRPr="003A2873" w:rsidTr="007C71CD">
        <w:trPr>
          <w:trHeight w:val="1058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873" w:rsidRPr="003A2873" w:rsidRDefault="003A2873" w:rsidP="00182FF6">
            <w:pPr>
              <w:ind w:right="1064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>Aufkleben eines Aluminium-Abschlussbandes als sichtbar bleibender, UV-beständiger Bahnenabschluss.</w:t>
            </w:r>
          </w:p>
          <w:p w:rsidR="003A2873" w:rsidRPr="003A2873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182FF6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 xml:space="preserve">Material: </w:t>
            </w:r>
          </w:p>
          <w:p w:rsidR="003A2873" w:rsidRPr="003A2873" w:rsidRDefault="00182FF6" w:rsidP="00182FF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182FF6">
              <w:rPr>
                <w:rFonts w:cs="Arial"/>
                <w:sz w:val="16"/>
                <w:szCs w:val="16"/>
              </w:rPr>
              <w:t>SoproThene</w:t>
            </w:r>
            <w:r w:rsidRPr="00182FF6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182FF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 xml:space="preserve">Abschlussband Aluminium 878 </w:t>
            </w:r>
            <w:r w:rsidR="003A2873" w:rsidRPr="003A2873">
              <w:rPr>
                <w:sz w:val="16"/>
              </w:rPr>
              <w:t>oder gleichwertig.</w:t>
            </w:r>
          </w:p>
          <w:p w:rsidR="003A2873" w:rsidRPr="003A2873" w:rsidRDefault="003A2873" w:rsidP="003A2873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182FF6" w:rsidRDefault="00182FF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3A2873" w:rsidRPr="003A2873" w:rsidTr="007C71CD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jc w:val="center"/>
              <w:rPr>
                <w:sz w:val="16"/>
              </w:rPr>
            </w:pPr>
            <w:r w:rsidRPr="003A2873">
              <w:rPr>
                <w:sz w:val="16"/>
              </w:rPr>
              <w:t>100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3A2873" w:rsidRPr="003A2873" w:rsidRDefault="00182FF6" w:rsidP="00182FF6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Überarbeitbarer</w:t>
            </w:r>
            <w:r w:rsidR="003A2873" w:rsidRPr="003A2873">
              <w:rPr>
                <w:b/>
                <w:sz w:val="16"/>
              </w:rPr>
              <w:t xml:space="preserve"> Bahnenabschluss: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3A2873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</w:tr>
      <w:tr w:rsidR="003A2873" w:rsidRPr="003A2873" w:rsidTr="007C71CD">
        <w:trPr>
          <w:trHeight w:val="140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873" w:rsidRPr="003A2873" w:rsidRDefault="003A2873" w:rsidP="003A2873">
            <w:pPr>
              <w:tabs>
                <w:tab w:val="left" w:pos="1205"/>
              </w:tabs>
              <w:ind w:left="71" w:right="1064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 xml:space="preserve">Aufkleben eines überarbeitbaren, vlieskaschierten, selbstklebenden Butyl-Kautschukbandes im Bereich des Bahnenabschlusses als Träger für Putz und Fliesen. </w:t>
            </w:r>
          </w:p>
          <w:p w:rsidR="003A2873" w:rsidRPr="003A2873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182FF6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 xml:space="preserve">Material: </w:t>
            </w:r>
          </w:p>
          <w:p w:rsidR="003A2873" w:rsidRPr="003A2873" w:rsidRDefault="00182FF6" w:rsidP="00182FF6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182FF6">
              <w:rPr>
                <w:rFonts w:cs="Arial"/>
                <w:sz w:val="16"/>
                <w:szCs w:val="16"/>
              </w:rPr>
              <w:t>SoproThene</w:t>
            </w:r>
            <w:r w:rsidRPr="00182FF6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182FF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 xml:space="preserve">Abschlussband Vlies 878 </w:t>
            </w:r>
            <w:r w:rsidR="003A2873" w:rsidRPr="003A2873">
              <w:rPr>
                <w:sz w:val="16"/>
              </w:rPr>
              <w:t>oder gleichwertig.</w:t>
            </w:r>
          </w:p>
          <w:p w:rsidR="003A2873" w:rsidRPr="003A2873" w:rsidRDefault="003A2873" w:rsidP="003A2873">
            <w:pPr>
              <w:tabs>
                <w:tab w:val="left" w:pos="1205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3A2873" w:rsidRPr="003A2873" w:rsidTr="003A2873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jc w:val="center"/>
              <w:rPr>
                <w:sz w:val="16"/>
              </w:rPr>
            </w:pPr>
            <w:r w:rsidRPr="003A2873">
              <w:rPr>
                <w:sz w:val="16"/>
              </w:rPr>
              <w:t>110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873" w:rsidRPr="003A2873" w:rsidRDefault="003A2873" w:rsidP="003A2873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  <w:p w:rsidR="003A2873" w:rsidRPr="003A2873" w:rsidRDefault="003A2873" w:rsidP="00182FF6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Anbringen von Drainage- und Schutzmatten: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3A2873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</w:tr>
      <w:tr w:rsidR="003A2873" w:rsidRPr="003A2873" w:rsidTr="003A2873">
        <w:trPr>
          <w:trHeight w:val="107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873" w:rsidRPr="003A2873" w:rsidRDefault="003A2873" w:rsidP="003A2873">
            <w:pPr>
              <w:ind w:left="71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>Anbringen einer dreischichtigen bitumenverträglichen Noppenmatte als Schutzschicht und senkrechte Flächendränage mit Filtervlies und rückseitiger, druckverteilender Folie.</w:t>
            </w:r>
          </w:p>
          <w:p w:rsidR="003A2873" w:rsidRPr="003A2873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182FF6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 xml:space="preserve">Material: </w:t>
            </w:r>
          </w:p>
          <w:p w:rsidR="003A2873" w:rsidRPr="00182FF6" w:rsidRDefault="00182FF6" w:rsidP="00182FF6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182FF6">
              <w:rPr>
                <w:rFonts w:cs="Arial"/>
                <w:sz w:val="16"/>
                <w:szCs w:val="16"/>
              </w:rPr>
              <w:t>Sopro KellerDrainSystem KDS 663</w:t>
            </w:r>
            <w:r w:rsidR="003A2873" w:rsidRPr="00182FF6">
              <w:rPr>
                <w:sz w:val="16"/>
                <w:szCs w:val="16"/>
              </w:rPr>
              <w:t xml:space="preserve"> oder gleichwertig.</w:t>
            </w:r>
          </w:p>
          <w:p w:rsidR="003A2873" w:rsidRPr="003A2873" w:rsidRDefault="003A2873" w:rsidP="003A2873">
            <w:pPr>
              <w:tabs>
                <w:tab w:val="left" w:pos="1205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3A2873" w:rsidRPr="003A2873" w:rsidTr="003A2873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jc w:val="center"/>
              <w:rPr>
                <w:sz w:val="16"/>
              </w:rPr>
            </w:pPr>
            <w:r w:rsidRPr="003A2873">
              <w:rPr>
                <w:sz w:val="16"/>
              </w:rPr>
              <w:t>120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873" w:rsidRPr="003A2873" w:rsidRDefault="003A2873" w:rsidP="003A2873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Alternativposition:</w:t>
            </w:r>
          </w:p>
          <w:p w:rsidR="003A2873" w:rsidRPr="003A2873" w:rsidRDefault="003A2873" w:rsidP="00182FF6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Anbringen von Schutz- und Wärmedämmplatten: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3A2873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…………</w:t>
            </w:r>
          </w:p>
        </w:tc>
      </w:tr>
      <w:tr w:rsidR="003A2873" w:rsidRPr="003A2873" w:rsidTr="007C71CD">
        <w:trPr>
          <w:trHeight w:val="107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873" w:rsidRPr="003A2873" w:rsidRDefault="003A2873" w:rsidP="003A2873">
            <w:pPr>
              <w:ind w:left="71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>Verkleben von Hartschaumdämmplatten als Schutzschicht und Wärmedämmung (Perimeterdämmung) mit doppelseitig selbstklebendem Verschweißungsband alternativ mit Bitumen-dickbeschichtungsmaterial auf der KSK-Bahn.</w:t>
            </w:r>
          </w:p>
          <w:p w:rsidR="003A2873" w:rsidRPr="003A2873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</w:p>
          <w:p w:rsidR="00182FF6" w:rsidRDefault="003A2873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3A2873">
              <w:rPr>
                <w:sz w:val="16"/>
              </w:rPr>
              <w:t xml:space="preserve">Material: </w:t>
            </w:r>
          </w:p>
          <w:p w:rsidR="00182FF6" w:rsidRDefault="00182FF6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182FF6">
              <w:rPr>
                <w:rFonts w:cs="Arial"/>
                <w:sz w:val="16"/>
                <w:szCs w:val="16"/>
              </w:rPr>
              <w:t>SoproThene</w:t>
            </w:r>
            <w:r w:rsidRPr="00182FF6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182FF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 xml:space="preserve"> Klebeband </w:t>
            </w:r>
            <w:r w:rsidRPr="003A2873">
              <w:rPr>
                <w:sz w:val="16"/>
              </w:rPr>
              <w:t>878</w:t>
            </w:r>
            <w:r>
              <w:rPr>
                <w:sz w:val="16"/>
              </w:rPr>
              <w:t>,</w:t>
            </w:r>
            <w:r w:rsidR="003A2873" w:rsidRPr="003A2873">
              <w:rPr>
                <w:sz w:val="16"/>
              </w:rPr>
              <w:t xml:space="preserve">              </w:t>
            </w:r>
          </w:p>
          <w:p w:rsidR="003A2873" w:rsidRPr="00182FF6" w:rsidRDefault="00182FF6" w:rsidP="003A2873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182FF6">
              <w:rPr>
                <w:rFonts w:cs="Arial"/>
                <w:sz w:val="16"/>
                <w:szCs w:val="16"/>
              </w:rPr>
              <w:t>Sopro KellerDicht Super+ KSP 652</w:t>
            </w:r>
            <w:r w:rsidR="003A2873" w:rsidRPr="00182FF6">
              <w:rPr>
                <w:sz w:val="16"/>
                <w:szCs w:val="16"/>
              </w:rPr>
              <w:t xml:space="preserve"> oder gleichwertig</w:t>
            </w:r>
          </w:p>
          <w:p w:rsidR="003A2873" w:rsidRPr="003A2873" w:rsidRDefault="003A2873" w:rsidP="003A2873">
            <w:pPr>
              <w:tabs>
                <w:tab w:val="left" w:pos="1205"/>
              </w:tabs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1205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3A2873" w:rsidRPr="003A2873" w:rsidTr="007C71CD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3A2873" w:rsidRPr="003A2873" w:rsidRDefault="003A2873" w:rsidP="003A2873">
            <w:pPr>
              <w:ind w:left="71"/>
              <w:rPr>
                <w:b/>
                <w:sz w:val="16"/>
              </w:rPr>
            </w:pPr>
            <w:r w:rsidRPr="003A2873">
              <w:rPr>
                <w:b/>
                <w:sz w:val="16"/>
              </w:rPr>
              <w:t>Folgende Technische Datenblätter sind bei der Verarbeitung der Produkte zu beachten:</w:t>
            </w:r>
          </w:p>
          <w:p w:rsidR="003A2873" w:rsidRPr="003A2873" w:rsidRDefault="003A2873" w:rsidP="003A2873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3A2873" w:rsidRPr="003A2873" w:rsidTr="003A2873">
        <w:trPr>
          <w:trHeight w:val="160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3A2873" w:rsidRPr="003A2873" w:rsidRDefault="003A2873" w:rsidP="003A2873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2873" w:rsidRPr="009C5CB9" w:rsidRDefault="003A2873" w:rsidP="003A2873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</w:p>
          <w:p w:rsidR="003A2873" w:rsidRPr="009C5CB9" w:rsidRDefault="003A2873" w:rsidP="003A2873">
            <w:pPr>
              <w:ind w:left="71"/>
              <w:rPr>
                <w:sz w:val="16"/>
                <w:szCs w:val="16"/>
              </w:rPr>
            </w:pPr>
            <w:r w:rsidRPr="009C5CB9">
              <w:rPr>
                <w:sz w:val="16"/>
                <w:szCs w:val="16"/>
              </w:rPr>
              <w:t xml:space="preserve">- </w:t>
            </w:r>
            <w:r w:rsidR="00182FF6" w:rsidRPr="009C5CB9">
              <w:rPr>
                <w:rFonts w:cs="Arial"/>
                <w:sz w:val="16"/>
                <w:szCs w:val="16"/>
              </w:rPr>
              <w:t>Sopro Haftemulsion HE 449</w:t>
            </w:r>
          </w:p>
          <w:p w:rsidR="003A2873" w:rsidRPr="009C5CB9" w:rsidRDefault="003A2873" w:rsidP="003A2873">
            <w:pPr>
              <w:ind w:left="71"/>
              <w:rPr>
                <w:sz w:val="16"/>
                <w:szCs w:val="16"/>
              </w:rPr>
            </w:pPr>
            <w:r w:rsidRPr="009C5CB9">
              <w:rPr>
                <w:sz w:val="16"/>
                <w:szCs w:val="16"/>
              </w:rPr>
              <w:t xml:space="preserve">- </w:t>
            </w:r>
            <w:r w:rsidR="00182FF6" w:rsidRPr="009C5CB9">
              <w:rPr>
                <w:rFonts w:cs="Arial"/>
                <w:sz w:val="16"/>
                <w:szCs w:val="16"/>
              </w:rPr>
              <w:t>Sopro RAM 3</w:t>
            </w:r>
            <w:r w:rsidR="00182FF6" w:rsidRPr="009C5CB9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182FF6" w:rsidRPr="009C5CB9">
              <w:rPr>
                <w:rFonts w:cs="Arial"/>
                <w:sz w:val="16"/>
                <w:szCs w:val="16"/>
              </w:rPr>
              <w:t xml:space="preserve"> Renovier- &amp; AusgleichsMörtel 454</w:t>
            </w:r>
          </w:p>
          <w:p w:rsidR="003A2873" w:rsidRPr="009C5CB9" w:rsidRDefault="003A2873" w:rsidP="003A2873">
            <w:pPr>
              <w:ind w:left="71"/>
              <w:rPr>
                <w:rFonts w:cs="Arial"/>
                <w:sz w:val="16"/>
                <w:szCs w:val="16"/>
              </w:rPr>
            </w:pPr>
            <w:r w:rsidRPr="009C5CB9">
              <w:rPr>
                <w:sz w:val="16"/>
                <w:szCs w:val="16"/>
              </w:rPr>
              <w:t xml:space="preserve">- </w:t>
            </w:r>
            <w:r w:rsidR="00182FF6" w:rsidRPr="009C5CB9">
              <w:rPr>
                <w:rFonts w:cs="Arial"/>
                <w:sz w:val="16"/>
                <w:szCs w:val="16"/>
              </w:rPr>
              <w:t>SoproThene</w:t>
            </w:r>
            <w:r w:rsidR="00182FF6" w:rsidRPr="009C5CB9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182FF6" w:rsidRPr="009C5CB9">
              <w:rPr>
                <w:rFonts w:cs="Arial"/>
                <w:sz w:val="16"/>
                <w:szCs w:val="16"/>
              </w:rPr>
              <w:t xml:space="preserve"> Voranstrich 879</w:t>
            </w:r>
          </w:p>
          <w:p w:rsidR="009C5CB9" w:rsidRPr="009C5CB9" w:rsidRDefault="009C5CB9" w:rsidP="003A2873">
            <w:pPr>
              <w:ind w:left="71"/>
              <w:rPr>
                <w:rFonts w:cs="Arial"/>
                <w:sz w:val="16"/>
                <w:szCs w:val="16"/>
              </w:rPr>
            </w:pPr>
            <w:r w:rsidRPr="009C5CB9">
              <w:rPr>
                <w:rFonts w:cs="Arial"/>
                <w:sz w:val="16"/>
                <w:szCs w:val="16"/>
              </w:rPr>
              <w:t>- SoproThene</w:t>
            </w:r>
            <w:r w:rsidRPr="009C5CB9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9C5CB9">
              <w:rPr>
                <w:rFonts w:cs="Arial"/>
                <w:sz w:val="16"/>
                <w:szCs w:val="16"/>
              </w:rPr>
              <w:t xml:space="preserve"> </w:t>
            </w:r>
            <w:r w:rsidRPr="009C5CB9">
              <w:rPr>
                <w:sz w:val="16"/>
                <w:szCs w:val="16"/>
              </w:rPr>
              <w:t>Eckband 878</w:t>
            </w:r>
          </w:p>
          <w:p w:rsidR="009C5CB9" w:rsidRPr="009C5CB9" w:rsidRDefault="009C5CB9" w:rsidP="003A2873">
            <w:pPr>
              <w:ind w:left="71"/>
              <w:rPr>
                <w:sz w:val="16"/>
                <w:szCs w:val="16"/>
              </w:rPr>
            </w:pPr>
            <w:r w:rsidRPr="009C5CB9">
              <w:rPr>
                <w:rFonts w:cs="Arial"/>
                <w:sz w:val="16"/>
                <w:szCs w:val="16"/>
              </w:rPr>
              <w:t>- SoproThene</w:t>
            </w:r>
            <w:r w:rsidRPr="009C5CB9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9C5CB9">
              <w:rPr>
                <w:rFonts w:cs="Arial"/>
                <w:sz w:val="16"/>
                <w:szCs w:val="16"/>
              </w:rPr>
              <w:t xml:space="preserve"> </w:t>
            </w:r>
            <w:r w:rsidRPr="009C5CB9">
              <w:rPr>
                <w:sz w:val="16"/>
                <w:szCs w:val="16"/>
              </w:rPr>
              <w:t xml:space="preserve"> Klebeband 878</w:t>
            </w:r>
          </w:p>
          <w:p w:rsidR="003A2873" w:rsidRPr="009C5CB9" w:rsidRDefault="003A2873" w:rsidP="003A2873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9C5CB9">
              <w:rPr>
                <w:sz w:val="16"/>
                <w:szCs w:val="16"/>
              </w:rPr>
              <w:t xml:space="preserve">- </w:t>
            </w:r>
            <w:r w:rsidR="009C5CB9" w:rsidRPr="009C5CB9">
              <w:rPr>
                <w:rFonts w:cs="Arial"/>
                <w:sz w:val="16"/>
                <w:szCs w:val="16"/>
              </w:rPr>
              <w:t>SoproThene</w:t>
            </w:r>
            <w:r w:rsidR="009C5CB9" w:rsidRPr="009C5CB9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9C5CB9" w:rsidRPr="009C5CB9">
              <w:rPr>
                <w:rFonts w:cs="Arial"/>
                <w:sz w:val="16"/>
                <w:szCs w:val="16"/>
              </w:rPr>
              <w:t xml:space="preserve"> </w:t>
            </w:r>
            <w:r w:rsidR="009C5CB9" w:rsidRPr="009C5CB9">
              <w:rPr>
                <w:sz w:val="16"/>
                <w:szCs w:val="16"/>
              </w:rPr>
              <w:t>Abschlussband Aluminium 878</w:t>
            </w:r>
          </w:p>
          <w:p w:rsidR="003A2873" w:rsidRPr="009C5CB9" w:rsidRDefault="003A2873" w:rsidP="003A2873">
            <w:pPr>
              <w:ind w:left="71"/>
              <w:rPr>
                <w:sz w:val="16"/>
                <w:szCs w:val="16"/>
              </w:rPr>
            </w:pPr>
            <w:r w:rsidRPr="009C5CB9">
              <w:rPr>
                <w:sz w:val="16"/>
                <w:szCs w:val="16"/>
              </w:rPr>
              <w:t xml:space="preserve">- </w:t>
            </w:r>
            <w:r w:rsidR="009C5CB9" w:rsidRPr="009C5CB9">
              <w:rPr>
                <w:rFonts w:cs="Arial"/>
                <w:sz w:val="16"/>
                <w:szCs w:val="16"/>
              </w:rPr>
              <w:t>SoproThene</w:t>
            </w:r>
            <w:r w:rsidR="009C5CB9" w:rsidRPr="009C5CB9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="009C5CB9" w:rsidRPr="009C5CB9">
              <w:rPr>
                <w:rFonts w:cs="Arial"/>
                <w:sz w:val="16"/>
                <w:szCs w:val="16"/>
              </w:rPr>
              <w:t xml:space="preserve"> </w:t>
            </w:r>
            <w:r w:rsidR="009C5CB9" w:rsidRPr="009C5CB9">
              <w:rPr>
                <w:sz w:val="16"/>
                <w:szCs w:val="16"/>
              </w:rPr>
              <w:t>Abschlussband Vlies 878</w:t>
            </w:r>
          </w:p>
          <w:p w:rsidR="003A2873" w:rsidRPr="009C5CB9" w:rsidRDefault="003A2873" w:rsidP="003A2873">
            <w:pPr>
              <w:ind w:left="71"/>
              <w:rPr>
                <w:sz w:val="16"/>
                <w:szCs w:val="16"/>
              </w:rPr>
            </w:pPr>
            <w:r w:rsidRPr="009C5CB9">
              <w:rPr>
                <w:sz w:val="16"/>
                <w:szCs w:val="16"/>
              </w:rPr>
              <w:t xml:space="preserve">- </w:t>
            </w:r>
            <w:r w:rsidR="009C5CB9" w:rsidRPr="009C5CB9">
              <w:rPr>
                <w:rFonts w:cs="Arial"/>
                <w:sz w:val="16"/>
                <w:szCs w:val="16"/>
              </w:rPr>
              <w:t>Sopro KellerDrainSystem KDS 663</w:t>
            </w:r>
            <w:r w:rsidRPr="009C5CB9">
              <w:rPr>
                <w:sz w:val="16"/>
                <w:szCs w:val="16"/>
              </w:rPr>
              <w:t xml:space="preserve"> </w:t>
            </w:r>
          </w:p>
          <w:p w:rsidR="009C5CB9" w:rsidRPr="009C5CB9" w:rsidRDefault="009C5CB9" w:rsidP="003A2873">
            <w:pPr>
              <w:ind w:left="71"/>
              <w:rPr>
                <w:sz w:val="16"/>
                <w:szCs w:val="16"/>
              </w:rPr>
            </w:pPr>
            <w:r w:rsidRPr="009C5CB9">
              <w:rPr>
                <w:sz w:val="16"/>
                <w:szCs w:val="16"/>
              </w:rPr>
              <w:t xml:space="preserve">- </w:t>
            </w:r>
            <w:r w:rsidRPr="009C5CB9">
              <w:rPr>
                <w:rFonts w:cs="Arial"/>
                <w:sz w:val="16"/>
                <w:szCs w:val="16"/>
              </w:rPr>
              <w:t>Sopro KellerDicht Super+ KSP 652</w:t>
            </w:r>
          </w:p>
          <w:p w:rsidR="003A2873" w:rsidRPr="003A2873" w:rsidRDefault="003A2873" w:rsidP="003A2873">
            <w:pPr>
              <w:ind w:left="71"/>
              <w:rPr>
                <w:sz w:val="16"/>
              </w:rPr>
            </w:pPr>
          </w:p>
          <w:p w:rsidR="003A2873" w:rsidRPr="003A2873" w:rsidRDefault="003A2873" w:rsidP="003A2873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A2873" w:rsidRPr="003A2873" w:rsidRDefault="003A2873" w:rsidP="003A2873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3A2873" w:rsidRPr="003A2873" w:rsidRDefault="003A2873" w:rsidP="003A2873"/>
    <w:p w:rsidR="0076368F" w:rsidRPr="00CE3372" w:rsidRDefault="0076368F" w:rsidP="00CE3372">
      <w:pPr>
        <w:rPr>
          <w:szCs w:val="2"/>
        </w:rPr>
      </w:pPr>
    </w:p>
    <w:sectPr w:rsidR="0076368F" w:rsidRPr="00CE3372" w:rsidSect="00F75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511" w:rsidRDefault="002F5511">
      <w:r>
        <w:separator/>
      </w:r>
    </w:p>
  </w:endnote>
  <w:endnote w:type="continuationSeparator" w:id="0">
    <w:p w:rsidR="002F5511" w:rsidRDefault="002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23" w:rsidRDefault="00A77D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2F5511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23" w:rsidRDefault="00A77D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511" w:rsidRDefault="002F5511">
      <w:r>
        <w:separator/>
      </w:r>
    </w:p>
  </w:footnote>
  <w:footnote w:type="continuationSeparator" w:id="0">
    <w:p w:rsidR="002F5511" w:rsidRDefault="002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23" w:rsidRDefault="00A77D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framePr w:w="2041" w:h="770" w:hRule="exact" w:hSpace="142" w:wrap="around" w:vAnchor="page" w:hAnchor="page" w:x="8619" w:y="681"/>
    </w:pPr>
    <w:r>
      <w:rPr>
        <w:noProof/>
      </w:rPr>
      <w:drawing>
        <wp:inline distT="0" distB="0" distL="0" distR="0" wp14:anchorId="1FFA339A" wp14:editId="5C9A52FE">
          <wp:extent cx="1297940" cy="481965"/>
          <wp:effectExtent l="19050" t="0" r="0" b="0"/>
          <wp:docPr id="1" name="Bild 1" descr="logo-4cm-300dpi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cm-300dpi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372" w:rsidRDefault="002F5511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60288" stroked="f">
          <o:lock v:ext="edit" aspectratio="t"/>
          <v:textbox style="mso-next-textbox:#_x0000_s2054">
            <w:txbxContent>
              <w:p w:rsidR="00CE3372" w:rsidRDefault="00CE3372">
                <w:r>
                  <w:t>Anschrift:</w:t>
                </w:r>
              </w:p>
              <w:p w:rsidR="00CE3372" w:rsidRDefault="00CE3372"/>
              <w:p w:rsidR="00CE3372" w:rsidRDefault="00CE3372"/>
              <w:p w:rsidR="00CE3372" w:rsidRDefault="00CE3372"/>
              <w:p w:rsidR="0047517F" w:rsidRDefault="0047517F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2F5511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61312" stroked="f">
          <o:lock v:ext="edit" aspectratio="t"/>
          <v:textbox style="mso-next-textbox:#_x0000_s2055">
            <w:txbxContent>
              <w:p w:rsidR="00CE3372" w:rsidRPr="0087181C" w:rsidRDefault="00CE3372" w:rsidP="0087181C">
                <w:r>
                  <w:t>BV</w:t>
                </w:r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2F5511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480.9pt;height:31.95pt;z-index:251662336" stroked="f">
          <o:lock v:ext="edit" aspectratio="t"/>
          <v:textbox style="mso-next-textbox:#_x0000_s2056">
            <w:txbxContent>
              <w:p w:rsidR="003A2873" w:rsidRPr="003A2873" w:rsidRDefault="003A2873" w:rsidP="003A2873">
                <w:pPr>
                  <w:rPr>
                    <w:b/>
                  </w:rPr>
                </w:pPr>
                <w:r w:rsidRPr="003A2873">
                  <w:rPr>
                    <w:b/>
                  </w:rPr>
                  <w:t>Muster-Leistungsverzeichnis – Bauwerksabdichtung nach DIN 18195</w:t>
                </w:r>
                <w:r w:rsidR="00A77D23">
                  <w:rPr>
                    <w:b/>
                  </w:rPr>
                  <w:t>-4</w:t>
                </w:r>
                <w:r w:rsidRPr="003A2873">
                  <w:rPr>
                    <w:b/>
                  </w:rPr>
                  <w:t xml:space="preserve"> mit K</w:t>
                </w:r>
                <w:r>
                  <w:rPr>
                    <w:b/>
                  </w:rPr>
                  <w:t>altselbstklebender Bitumenabdichtungsbahn (KSK-Bahn</w:t>
                </w:r>
                <w:r w:rsidRPr="003A2873">
                  <w:rPr>
                    <w:b/>
                  </w:rPr>
                  <w:t>)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2F5511" w:rsidP="00B47D01">
    <w:r>
      <w:rPr>
        <w:noProof/>
      </w:rPr>
      <w:pict>
        <v:shape id="_x0000_s2057" type="#_x0000_t202" style="position:absolute;margin-left:-8.25pt;margin-top:2.25pt;width:480.9pt;height:21.05pt;z-index:251663360" stroked="f">
          <o:lock v:ext="edit" aspectratio="t"/>
          <v:textbox style="mso-next-textbox:#_x0000_s2057">
            <w:txbxContent>
              <w:p w:rsidR="00CE3372" w:rsidRDefault="00CE3372" w:rsidP="0087181C">
                <w:r w:rsidRPr="0087181C">
                  <w:t xml:space="preserve">Bauteil: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2F5511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9264;mso-position-horizontal-relative:text;mso-position-vertical-relative:text;mso-width-relative:margin;mso-height-relative:margin" strokeweight=".5pt">
          <v:textbox style="mso-next-textbox:#_x0000_s2052">
            <w:txbxContent>
              <w:p w:rsidR="00CE3372" w:rsidRDefault="00CE3372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2096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DC7A1C" w:rsidRDefault="00DC7A1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8240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CE3372" w:rsidRDefault="00CE3372" w:rsidP="0038775C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23" w:rsidRDefault="00A77D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511"/>
    <w:rsid w:val="00012400"/>
    <w:rsid w:val="00022472"/>
    <w:rsid w:val="00030266"/>
    <w:rsid w:val="0003345B"/>
    <w:rsid w:val="00066F54"/>
    <w:rsid w:val="00080139"/>
    <w:rsid w:val="000A50E6"/>
    <w:rsid w:val="000E5771"/>
    <w:rsid w:val="000E7641"/>
    <w:rsid w:val="000F01B5"/>
    <w:rsid w:val="000F64E1"/>
    <w:rsid w:val="00103ABD"/>
    <w:rsid w:val="001078E9"/>
    <w:rsid w:val="00127698"/>
    <w:rsid w:val="00182FF6"/>
    <w:rsid w:val="001841E6"/>
    <w:rsid w:val="00184EDC"/>
    <w:rsid w:val="00190F74"/>
    <w:rsid w:val="00195E76"/>
    <w:rsid w:val="001A09F5"/>
    <w:rsid w:val="001D2F50"/>
    <w:rsid w:val="001D5943"/>
    <w:rsid w:val="001E315E"/>
    <w:rsid w:val="00203C5D"/>
    <w:rsid w:val="00214757"/>
    <w:rsid w:val="00223F7A"/>
    <w:rsid w:val="002500A5"/>
    <w:rsid w:val="00253D07"/>
    <w:rsid w:val="00282CC7"/>
    <w:rsid w:val="002B2A01"/>
    <w:rsid w:val="002E65BF"/>
    <w:rsid w:val="002F5511"/>
    <w:rsid w:val="00305DA1"/>
    <w:rsid w:val="00312701"/>
    <w:rsid w:val="003160F4"/>
    <w:rsid w:val="0038775C"/>
    <w:rsid w:val="003A2873"/>
    <w:rsid w:val="003A48F4"/>
    <w:rsid w:val="003A5429"/>
    <w:rsid w:val="003B4141"/>
    <w:rsid w:val="003C4489"/>
    <w:rsid w:val="003D3E3A"/>
    <w:rsid w:val="003E2E67"/>
    <w:rsid w:val="003F7A50"/>
    <w:rsid w:val="0040229D"/>
    <w:rsid w:val="00446C54"/>
    <w:rsid w:val="004648BC"/>
    <w:rsid w:val="0047517F"/>
    <w:rsid w:val="00493EB1"/>
    <w:rsid w:val="004B067D"/>
    <w:rsid w:val="004E4CF4"/>
    <w:rsid w:val="005333E5"/>
    <w:rsid w:val="00554C99"/>
    <w:rsid w:val="005760E9"/>
    <w:rsid w:val="00584B87"/>
    <w:rsid w:val="005B2F21"/>
    <w:rsid w:val="005D19E6"/>
    <w:rsid w:val="005D1C15"/>
    <w:rsid w:val="005E735E"/>
    <w:rsid w:val="005F7632"/>
    <w:rsid w:val="006116F1"/>
    <w:rsid w:val="00645289"/>
    <w:rsid w:val="00646B87"/>
    <w:rsid w:val="00650FB3"/>
    <w:rsid w:val="0065256D"/>
    <w:rsid w:val="006638BD"/>
    <w:rsid w:val="00685845"/>
    <w:rsid w:val="006C5932"/>
    <w:rsid w:val="006E5B25"/>
    <w:rsid w:val="00714240"/>
    <w:rsid w:val="007444C7"/>
    <w:rsid w:val="00750A97"/>
    <w:rsid w:val="0076368F"/>
    <w:rsid w:val="0077466A"/>
    <w:rsid w:val="0078241A"/>
    <w:rsid w:val="0078739B"/>
    <w:rsid w:val="00787EB6"/>
    <w:rsid w:val="007C4AED"/>
    <w:rsid w:val="007D2AE8"/>
    <w:rsid w:val="007D508F"/>
    <w:rsid w:val="007E3340"/>
    <w:rsid w:val="007F2FB4"/>
    <w:rsid w:val="007F6092"/>
    <w:rsid w:val="0080329B"/>
    <w:rsid w:val="0082060E"/>
    <w:rsid w:val="00823808"/>
    <w:rsid w:val="00830390"/>
    <w:rsid w:val="0087181C"/>
    <w:rsid w:val="008779C7"/>
    <w:rsid w:val="00881CB2"/>
    <w:rsid w:val="008A42C4"/>
    <w:rsid w:val="008C7FD9"/>
    <w:rsid w:val="00907C2D"/>
    <w:rsid w:val="009167F7"/>
    <w:rsid w:val="00940FA4"/>
    <w:rsid w:val="009464C3"/>
    <w:rsid w:val="009767A0"/>
    <w:rsid w:val="009C5CB9"/>
    <w:rsid w:val="00A40F6B"/>
    <w:rsid w:val="00A44A3F"/>
    <w:rsid w:val="00A512E3"/>
    <w:rsid w:val="00A60FBD"/>
    <w:rsid w:val="00A64C61"/>
    <w:rsid w:val="00A707AF"/>
    <w:rsid w:val="00A77D23"/>
    <w:rsid w:val="00A85A65"/>
    <w:rsid w:val="00A910D3"/>
    <w:rsid w:val="00AA084B"/>
    <w:rsid w:val="00AB253B"/>
    <w:rsid w:val="00B20B5D"/>
    <w:rsid w:val="00B24559"/>
    <w:rsid w:val="00B24E17"/>
    <w:rsid w:val="00B36C29"/>
    <w:rsid w:val="00B47D01"/>
    <w:rsid w:val="00B72536"/>
    <w:rsid w:val="00B77D90"/>
    <w:rsid w:val="00BA77A5"/>
    <w:rsid w:val="00BB3EE0"/>
    <w:rsid w:val="00BB3FE7"/>
    <w:rsid w:val="00BD5220"/>
    <w:rsid w:val="00BE4541"/>
    <w:rsid w:val="00BF43BE"/>
    <w:rsid w:val="00C022C6"/>
    <w:rsid w:val="00C061BA"/>
    <w:rsid w:val="00C73C33"/>
    <w:rsid w:val="00C806A2"/>
    <w:rsid w:val="00C876FC"/>
    <w:rsid w:val="00C94C7F"/>
    <w:rsid w:val="00CB692E"/>
    <w:rsid w:val="00CD4B2F"/>
    <w:rsid w:val="00CE0862"/>
    <w:rsid w:val="00CE3372"/>
    <w:rsid w:val="00CF63A8"/>
    <w:rsid w:val="00D032F2"/>
    <w:rsid w:val="00D62BEE"/>
    <w:rsid w:val="00D6490A"/>
    <w:rsid w:val="00D75F2C"/>
    <w:rsid w:val="00D853A5"/>
    <w:rsid w:val="00D9039C"/>
    <w:rsid w:val="00D93F55"/>
    <w:rsid w:val="00DB510C"/>
    <w:rsid w:val="00DC7A1C"/>
    <w:rsid w:val="00DF4E92"/>
    <w:rsid w:val="00E259BB"/>
    <w:rsid w:val="00E309BA"/>
    <w:rsid w:val="00E400D8"/>
    <w:rsid w:val="00E50529"/>
    <w:rsid w:val="00E56644"/>
    <w:rsid w:val="00E83522"/>
    <w:rsid w:val="00E86E85"/>
    <w:rsid w:val="00E94C21"/>
    <w:rsid w:val="00E957F8"/>
    <w:rsid w:val="00ED2918"/>
    <w:rsid w:val="00ED7A81"/>
    <w:rsid w:val="00EF1F5B"/>
    <w:rsid w:val="00EF6A62"/>
    <w:rsid w:val="00F00D60"/>
    <w:rsid w:val="00F01C8E"/>
    <w:rsid w:val="00F24632"/>
    <w:rsid w:val="00F430A0"/>
    <w:rsid w:val="00F50137"/>
    <w:rsid w:val="00F65C06"/>
    <w:rsid w:val="00F6798B"/>
    <w:rsid w:val="00F75CC9"/>
    <w:rsid w:val="00F850B3"/>
    <w:rsid w:val="00F8682E"/>
    <w:rsid w:val="00F908BE"/>
    <w:rsid w:val="00FA0C3F"/>
    <w:rsid w:val="00FB7DEC"/>
    <w:rsid w:val="00FC32EB"/>
    <w:rsid w:val="00FD1FE1"/>
    <w:rsid w:val="00FE67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docId w15:val="{D44F8B02-452D-4D1B-B40C-42FFEC96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A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-Objektberatung\00-LV-Texte%20OBJ\00-Vorlagen\14.2%20Bauwerksabdichtung%20-%20KSK-Bahnen\LV%20Mustertext%20-%20Bauwerksabdichtung%20nach%2018533%20KSK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E8604-10BE-4D36-8953-2869CB99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 Mustertext - Bauwerksabdichtung nach 18533 KSK.dotx</Template>
  <TotalTime>0</TotalTime>
  <Pages>3</Pages>
  <Words>689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creator>Gastaldello Heiko</dc:creator>
  <cp:lastModifiedBy>Gastaldello Heiko</cp:lastModifiedBy>
  <cp:revision>1</cp:revision>
  <cp:lastPrinted>2013-07-15T14:55:00Z</cp:lastPrinted>
  <dcterms:created xsi:type="dcterms:W3CDTF">2018-01-24T18:25:00Z</dcterms:created>
  <dcterms:modified xsi:type="dcterms:W3CDTF">2018-01-24T18:26:00Z</dcterms:modified>
</cp:coreProperties>
</file>