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Estrich auf Restfeuchtegehalt überprüfen: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Vor der Verlegung des Oberbodens muss die Belegreife mittels CM-Messung gemessen und protokolliert werden. Die Prüfung erfolgt mit Prüfgut, welches aus dem kompletten Estrichquerschnitt entnommen wurde.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Je Einheiten bzw. alle 200 m² sind Messungen vorzunehmen.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Um unnötige Messungen zu vermeiden, sollte zuvor mit Folientest oder elektrischen Messverfahren ein Richtwert ermittelt werden. Die Durchführung und Protokollierung der CM-Messung erfolgt gemäß den Vorgaben der Schnittstellenkoordination, herausgegeben vom Bundesverband Flächenheizung und Flächenkühlung e. V.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Restfeuchtegehalt in Verbindung mit Fliesen: 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Beheizt </w:t>
            </w:r>
            <w:r w:rsidRPr="00D6161B">
              <w:rPr>
                <w:rFonts w:cs="Arial"/>
                <w:sz w:val="16"/>
              </w:rPr>
              <w:t xml:space="preserve">≤ </w:t>
            </w:r>
            <w:r w:rsidRPr="00D6161B">
              <w:rPr>
                <w:sz w:val="16"/>
              </w:rPr>
              <w:t>0,3 CM-%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Unbeheizt ≤ 0,5 CM-%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2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Vorbereiten des Calciumsulfatestrichs: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Anschleifen des Calciumsulfatestrichs (entfernen der obersten Schlämmeschicht) und reinigen des Untergrundes von allen haftungsmindernden Stoffen, Staubreste gründlich absaugen. Material aufnehmen und entsorgen. </w:t>
            </w:r>
          </w:p>
          <w:p w:rsidR="00D6161B" w:rsidRPr="00D6161B" w:rsidRDefault="00D6161B" w:rsidP="00D6161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Eventualposition: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Ausgleichsspachtelung bei Großformatverlegung: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Aufbringen einer schnell trocknenden, einkomponentigen, lösemittelfreien Reaktionsharzgrundierung auf den Anhydritestrich. Grundierung im Überschuss absanden, nicht eingebundene Körner nach Erhärtung entfernen.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Stellen und fixieren eines Randdämmstreifens an aufgehenden Bauteilen. Ausgleichen von Unebenheiten, ggf. Höhenausgleich, mit einer selbstnivellierenden, pumpfähigen, schnell erhärtenden, zementären Spachtelmasse in Schichtstärken von 2-40 mm. Festigkeit CT-C35-F9 gemäß DIN EN 13813, GEV-EMICODE EC1 Plus, sehr emissionsarm.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Schichtdicke im Mittel ______mm.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MultiGrund MGR 637</w:t>
            </w:r>
            <w:r w:rsidRPr="00D6161B">
              <w:rPr>
                <w:sz w:val="16"/>
                <w:szCs w:val="16"/>
              </w:rPr>
              <w:t>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eastAsia="Calibri" w:cs="Arial"/>
                <w:sz w:val="16"/>
                <w:szCs w:val="16"/>
              </w:rPr>
              <w:t>Sopro FS 15</w:t>
            </w:r>
            <w:r w:rsidRPr="00D6161B">
              <w:rPr>
                <w:rFonts w:eastAsia="Calibri"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eastAsia="Calibri" w:cs="Arial"/>
                <w:sz w:val="16"/>
                <w:szCs w:val="16"/>
              </w:rPr>
              <w:t xml:space="preserve"> plus 550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7716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30D12" w:rsidRDefault="00730D1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br w:type="page"/>
            </w:r>
            <w:r w:rsidRPr="00D6161B">
              <w:br w:type="page"/>
            </w: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Grundieren  des Untergrundes – Fliesengröße </w:t>
            </w:r>
            <w:r w:rsidRPr="00D6161B">
              <w:rPr>
                <w:rFonts w:cs="Arial"/>
                <w:b/>
                <w:sz w:val="16"/>
              </w:rPr>
              <w:t>≤</w:t>
            </w:r>
            <w:r w:rsidRPr="00D6161B">
              <w:rPr>
                <w:b/>
                <w:sz w:val="16"/>
              </w:rPr>
              <w:t xml:space="preserve"> 1,0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Aufbringen einer unverdünnten Grundierung auf Kunstharzbasis auf den calciumsulfatgebundenen Untergrund als Vorbehandlung für die Aufnahme des nachfolgenden Dünnbettmörtelsystems. Grundierung mind. 12 h ablüften lassen.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4"/>
              </w:rPr>
            </w:pPr>
            <w:r w:rsidRPr="00D6161B">
              <w:rPr>
                <w:sz w:val="16"/>
              </w:rPr>
              <w:t>Anmerkung: Bei diesem Grundierungssystem sind bei Fliesenformaten &gt; 0,2 m² sehr schnell erhärtende Dünnbettmörtel C2 EF, begeh- und verfugbar nach ca. 2 h, zu verwenden.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Sopro Grundierung GD 749 oder gleichwertig.</w:t>
            </w:r>
          </w:p>
          <w:p w:rsidR="00D6161B" w:rsidRPr="00D6161B" w:rsidRDefault="00D6161B" w:rsidP="00D6161B">
            <w:pPr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Grundieren des Untergrundes  -Fliesengröße </w:t>
            </w:r>
            <w:r w:rsidRPr="00D6161B">
              <w:rPr>
                <w:rFonts w:cs="Arial"/>
                <w:b/>
                <w:sz w:val="16"/>
              </w:rPr>
              <w:t>&gt;</w:t>
            </w:r>
            <w:r w:rsidRPr="00D6161B">
              <w:rPr>
                <w:b/>
                <w:sz w:val="16"/>
              </w:rPr>
              <w:t xml:space="preserve"> 1,0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 w:right="1064"/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>Aufbringen einer einkomponentigen, wasser- und lösemittelfreien Reaktionsharzgrundierung auf den trockenen Untergrund für die Verlegung von Großformaten.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Pfützenbildungen sind zu vermeiden. Frische Grundierung mit feuergetrocknetem Quarzsand </w:t>
            </w:r>
            <w:r w:rsidRPr="00D6161B">
              <w:rPr>
                <w:rFonts w:cs="Arial"/>
                <w:sz w:val="16"/>
                <w:szCs w:val="16"/>
              </w:rPr>
              <w:t xml:space="preserve">Ø </w:t>
            </w:r>
            <w:r w:rsidRPr="00D6161B">
              <w:rPr>
                <w:sz w:val="16"/>
                <w:szCs w:val="16"/>
              </w:rPr>
              <w:t>0,4 - 0,8 mm absanden. Nach Erhärtung nicht eingebundene Körner entfernen.</w:t>
            </w:r>
          </w:p>
          <w:p w:rsidR="00D6161B" w:rsidRPr="00D6161B" w:rsidRDefault="00D6161B" w:rsidP="00D6161B">
            <w:pPr>
              <w:ind w:left="71" w:right="1064"/>
              <w:jc w:val="center"/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MultiGrund MGR 637</w:t>
            </w:r>
            <w:r w:rsidRPr="00D6161B">
              <w:rPr>
                <w:sz w:val="16"/>
                <w:szCs w:val="16"/>
              </w:rPr>
              <w:t>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Quarzsand grob QS 511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Ansetzen von Fliesen und Platten – Sockel / Wand: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274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1489"/>
              </w:tabs>
              <w:ind w:right="1064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Ansetzten von Fliesen und Platten mit hydraulisch erhärtendem, hoch kunststoffvergütetem Dünnbettmörtel mit Leichtzuschlägen, C2 TE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Fliesenflächen mit hydraulisch schnell erhärtendem, flexiblem Wasser- und Schmutzabweisendem Fugenmörtel verfugen, CG2 WA gemäß DIN EN 13888. Fugenbreite 1-10 mm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FKM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XL 444</w:t>
            </w:r>
            <w:r w:rsidRPr="00D6161B">
              <w:rPr>
                <w:sz w:val="16"/>
                <w:szCs w:val="16"/>
              </w:rPr>
              <w:t>,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rFonts w:cs="Arial"/>
                <w:sz w:val="16"/>
                <w:szCs w:val="24"/>
              </w:rPr>
              <w:t>Sopro DF 10</w:t>
            </w:r>
            <w:r w:rsidRPr="00D6161B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24"/>
              </w:rPr>
              <w:t xml:space="preserve"> DesignFuge Flex</w:t>
            </w:r>
            <w:r w:rsidRPr="00D6161B">
              <w:rPr>
                <w:sz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69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6161B" w:rsidRPr="00D6161B" w:rsidRDefault="00D6161B" w:rsidP="00D6161B">
      <w:r w:rsidRPr="00D6161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Verlegen von Fliesen und Platten – Boden – Fliesengröße </w:t>
            </w:r>
            <w:r w:rsidRPr="00D6161B">
              <w:rPr>
                <w:rFonts w:cs="Arial"/>
                <w:b/>
                <w:sz w:val="16"/>
              </w:rPr>
              <w:t>≤</w:t>
            </w:r>
            <w:r w:rsidRPr="00D6161B">
              <w:rPr>
                <w:b/>
                <w:sz w:val="16"/>
              </w:rPr>
              <w:t xml:space="preserve"> 0,2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Rutschhemmung: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Verlegen von Fliesen und Platten im Dünnbett mit hydraulisch erhärtendem, hoch kunststoffvergütetem Fließbettmörtel C2 E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Fliesenflächen mit hydraulisch schnell erhärtendem, flexiblem Wasser- und Schmutzabweisendem Fugenmörtel verfugen, CG2 WA gemäß DIN EN 13888.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>Sopro VarioFlex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VF XL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413,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DesignFuge Flex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 xml:space="preserve">Verlegen von Fliesen und Platten –  </w:t>
            </w: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Boden – Fliesengröße zwischen 0,2 m² und 1,0 m²: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Rutschhemmung: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Verlegen von Fliesen und Platten möglichst hohlraumfrei im Dünnbett mit hydraulisch sehr schnell erhärtendem, flexiblem Fließbettmörtel C2 EF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Fliesenflächen mit hydraulisch schnell erhärtendem, flexiblem Wasser- und Schmutzabweisendem Fugenmörtel verfugen, CG2 WA gemäß DIN EN 13888.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VarioFlex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Silver VF 419,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DesignFuge Flex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6161B" w:rsidRPr="00D6161B" w:rsidRDefault="00D6161B" w:rsidP="00D6161B">
      <w:r w:rsidRPr="00D6161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090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Verlegen von Fliesen und Platten – Boden – Fliesengröße &gt; 1,0 m² (mit Reaktionsharzgrundierung):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Fliesenfabrikat: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Fliesentyp: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Fliesenformat: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Fliesenfarbe: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Rutschhemmung:</w:t>
            </w:r>
            <w:r w:rsidRPr="00D6161B">
              <w:rPr>
                <w:sz w:val="16"/>
              </w:rPr>
              <w:tab/>
              <w:t>_____________________</w:t>
            </w:r>
          </w:p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Verlegen von Fliesen und Platten auf mit Reaktionsharz grundierten Untergrund im Dünnbett im Buttering-Floating-Verfahren mit hydraulisch erhärtendem, hoch kunststoffvergütetem Fließbettmörtel C2 E S1 gemäß DIN EN 12004. </w:t>
            </w: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Fliesenflächen mit hydraulisch schnell erhärtendem, flexiblem Wasser- und Schmutzabweisendem Fugenmörtel verfugen, CG2 WA gemäß DIN EN 13888.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489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Fugenbreite _____mm, Fugenfarbe ______.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>Sopro VarioFlex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VF XL</w:t>
            </w:r>
            <w:r w:rsidRPr="00D6161B">
              <w:rPr>
                <w:sz w:val="16"/>
                <w:szCs w:val="16"/>
                <w:vertAlign w:val="superscript"/>
              </w:rPr>
              <w:t>®</w:t>
            </w:r>
            <w:r w:rsidRPr="00D6161B">
              <w:rPr>
                <w:sz w:val="16"/>
                <w:szCs w:val="16"/>
              </w:rPr>
              <w:t xml:space="preserve"> 413,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DesignFuge Flex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Zulageposition:</w:t>
            </w: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Verlegen von Fliesen und Platten – Boden – Fliesengröße &gt; 1,0 m² (mit Reaktionsharzgrundierung) mit Schnellkleber: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30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270"/>
                <w:tab w:val="left" w:pos="7716"/>
              </w:tabs>
              <w:ind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Wie Vorposition, jedoch Verlegung mit hydraulisch sehr schnell erhärtendem, flexiblem Fließbettmörtel C2 EF S1 gemäß DIN EN 12004 für beschleunigten Baufortschritt.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ind w:left="71" w:right="1064"/>
              <w:jc w:val="both"/>
              <w:rPr>
                <w:sz w:val="16"/>
                <w:szCs w:val="16"/>
              </w:rPr>
            </w:pPr>
            <w:r w:rsidRPr="00D6161B">
              <w:rPr>
                <w:rFonts w:cs="Arial"/>
                <w:sz w:val="16"/>
                <w:szCs w:val="16"/>
              </w:rPr>
              <w:t>Sopro VarioFlex</w:t>
            </w:r>
            <w:r w:rsidRPr="00D6161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D6161B">
              <w:rPr>
                <w:rFonts w:cs="Arial"/>
                <w:sz w:val="16"/>
                <w:szCs w:val="16"/>
              </w:rPr>
              <w:t xml:space="preserve"> Silver VF 419</w:t>
            </w:r>
            <w:r w:rsidRPr="00D6161B">
              <w:rPr>
                <w:sz w:val="16"/>
                <w:szCs w:val="16"/>
              </w:rPr>
              <w:t xml:space="preserve">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  <w:r w:rsidRPr="00D6161B">
              <w:rPr>
                <w:sz w:val="16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Elastischen Fugenverfüllung: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D6161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…………</w:t>
            </w:r>
          </w:p>
        </w:tc>
      </w:tr>
      <w:tr w:rsidR="00D6161B" w:rsidRPr="00D6161B" w:rsidTr="00D13F0B">
        <w:trPr>
          <w:trHeight w:val="1276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ind w:left="71" w:right="1064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Anschluss- und Bewegungsfugen mit elastischem, fungizid und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fungistatisch eingestelltem Fugenfüllstoff verfüllen.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Fugenfarbe ______.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 xml:space="preserve">Material: 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D6161B">
              <w:rPr>
                <w:sz w:val="16"/>
              </w:rPr>
              <w:t>Sopro KeramikSilicon oder gleichwertig.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D6161B" w:rsidRPr="00D6161B" w:rsidRDefault="00D6161B" w:rsidP="00D6161B">
      <w:bookmarkStart w:id="0" w:name="_GoBack"/>
      <w:bookmarkEnd w:id="0"/>
      <w:r w:rsidRPr="00D6161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D6161B" w:rsidRPr="00D6161B" w:rsidTr="00D13F0B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D6161B" w:rsidRPr="00D6161B" w:rsidRDefault="00D6161B" w:rsidP="00D6161B">
            <w:pPr>
              <w:ind w:left="71"/>
              <w:rPr>
                <w:b/>
                <w:sz w:val="16"/>
              </w:rPr>
            </w:pPr>
            <w:r w:rsidRPr="00D6161B">
              <w:rPr>
                <w:b/>
                <w:sz w:val="16"/>
              </w:rPr>
              <w:t>Folgende Technische Datenblätter sind bei der Verarbeitung der Produkte zu beachten: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D6161B" w:rsidRPr="00D6161B" w:rsidTr="00D13F0B">
        <w:trPr>
          <w:trHeight w:val="132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D6161B" w:rsidRPr="00D6161B" w:rsidRDefault="00D6161B" w:rsidP="00D6161B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161B" w:rsidRPr="00D6161B" w:rsidRDefault="00D6161B" w:rsidP="00D6161B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D6161B" w:rsidRPr="00013905" w:rsidRDefault="00D6161B" w:rsidP="00D6161B">
            <w:pPr>
              <w:tabs>
                <w:tab w:val="left" w:pos="1205"/>
              </w:tabs>
              <w:ind w:left="71"/>
              <w:rPr>
                <w:rFonts w:eastAsia="Calibri" w:cs="Arial"/>
                <w:sz w:val="16"/>
                <w:szCs w:val="16"/>
              </w:rPr>
            </w:pPr>
            <w:r w:rsidRPr="00013905">
              <w:rPr>
                <w:sz w:val="16"/>
                <w:szCs w:val="16"/>
              </w:rPr>
              <w:t xml:space="preserve">- </w:t>
            </w:r>
            <w:r w:rsidR="00013905" w:rsidRPr="00013905">
              <w:rPr>
                <w:rFonts w:eastAsia="Calibri" w:cs="Arial"/>
                <w:sz w:val="16"/>
                <w:szCs w:val="16"/>
              </w:rPr>
              <w:t>Sopro Grundierung GD 749</w:t>
            </w:r>
          </w:p>
          <w:p w:rsidR="00013905" w:rsidRPr="00013905" w:rsidRDefault="00013905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3905">
              <w:rPr>
                <w:rFonts w:eastAsia="Calibri" w:cs="Arial"/>
                <w:sz w:val="16"/>
                <w:szCs w:val="16"/>
              </w:rPr>
              <w:t>- Sopro FS 15</w:t>
            </w:r>
            <w:r w:rsidRPr="00013905">
              <w:rPr>
                <w:rFonts w:eastAsia="Calibri" w:cs="Arial"/>
                <w:sz w:val="16"/>
                <w:szCs w:val="16"/>
                <w:vertAlign w:val="superscript"/>
              </w:rPr>
              <w:t>®</w:t>
            </w:r>
            <w:r w:rsidRPr="00013905">
              <w:rPr>
                <w:rFonts w:eastAsia="Calibri" w:cs="Arial"/>
                <w:sz w:val="16"/>
                <w:szCs w:val="16"/>
              </w:rPr>
              <w:t xml:space="preserve"> plus 550</w:t>
            </w:r>
          </w:p>
          <w:p w:rsidR="00D6161B" w:rsidRPr="00013905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013905">
              <w:rPr>
                <w:sz w:val="16"/>
                <w:szCs w:val="16"/>
              </w:rPr>
              <w:t xml:space="preserve">- </w:t>
            </w:r>
            <w:r w:rsidRPr="00013905">
              <w:rPr>
                <w:rFonts w:cs="Arial"/>
                <w:sz w:val="16"/>
                <w:szCs w:val="16"/>
              </w:rPr>
              <w:t>Sopro MultiGrund MGR 637</w:t>
            </w:r>
            <w:r w:rsidRPr="00013905">
              <w:rPr>
                <w:sz w:val="16"/>
                <w:szCs w:val="16"/>
              </w:rPr>
              <w:t xml:space="preserve"> </w:t>
            </w:r>
          </w:p>
          <w:p w:rsidR="00D6161B" w:rsidRPr="00013905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013905">
              <w:rPr>
                <w:sz w:val="16"/>
                <w:szCs w:val="16"/>
                <w:lang w:val="en-US"/>
              </w:rPr>
              <w:t xml:space="preserve">- </w:t>
            </w:r>
            <w:r w:rsidRPr="00013905">
              <w:rPr>
                <w:rFonts w:cs="Arial"/>
                <w:sz w:val="16"/>
                <w:szCs w:val="16"/>
                <w:lang w:val="en-US"/>
              </w:rPr>
              <w:t>Sopro Quarzsand grob QS 511</w:t>
            </w:r>
            <w:r w:rsidRPr="00013905">
              <w:rPr>
                <w:sz w:val="16"/>
                <w:szCs w:val="16"/>
                <w:lang w:val="en-US"/>
              </w:rPr>
              <w:t xml:space="preserve"> </w:t>
            </w:r>
          </w:p>
          <w:p w:rsidR="00D6161B" w:rsidRPr="00013905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  <w:lang w:val="en-US"/>
              </w:rPr>
            </w:pPr>
            <w:r w:rsidRPr="00013905">
              <w:rPr>
                <w:sz w:val="16"/>
                <w:szCs w:val="16"/>
                <w:lang w:val="en-US"/>
              </w:rPr>
              <w:t xml:space="preserve">- </w:t>
            </w:r>
            <w:r w:rsidRPr="00013905">
              <w:rPr>
                <w:rFonts w:cs="Arial"/>
                <w:sz w:val="16"/>
                <w:szCs w:val="16"/>
                <w:lang w:val="en-US"/>
              </w:rPr>
              <w:t>Sopro FKM</w:t>
            </w:r>
            <w:r w:rsidRPr="00013905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013905">
              <w:rPr>
                <w:rFonts w:cs="Arial"/>
                <w:sz w:val="16"/>
                <w:szCs w:val="16"/>
                <w:lang w:val="en-US"/>
              </w:rPr>
              <w:t xml:space="preserve"> XL 444</w:t>
            </w:r>
            <w:r w:rsidRPr="00013905">
              <w:rPr>
                <w:sz w:val="16"/>
                <w:szCs w:val="16"/>
                <w:lang w:val="en-US"/>
              </w:rPr>
              <w:t xml:space="preserve"> </w:t>
            </w:r>
          </w:p>
          <w:p w:rsidR="00D6161B" w:rsidRPr="00013905" w:rsidRDefault="00D6161B" w:rsidP="00D6161B">
            <w:pPr>
              <w:ind w:left="71" w:right="1064"/>
              <w:rPr>
                <w:sz w:val="16"/>
                <w:szCs w:val="16"/>
                <w:lang w:val="en-US"/>
              </w:rPr>
            </w:pPr>
            <w:r w:rsidRPr="00013905">
              <w:rPr>
                <w:sz w:val="16"/>
                <w:szCs w:val="16"/>
                <w:lang w:val="en-US"/>
              </w:rPr>
              <w:t>- Sopro VarioFlex</w:t>
            </w:r>
            <w:r w:rsidRPr="00013905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013905">
              <w:rPr>
                <w:sz w:val="16"/>
                <w:szCs w:val="16"/>
                <w:lang w:val="en-US"/>
              </w:rPr>
              <w:t xml:space="preserve"> VF XL</w:t>
            </w:r>
            <w:r w:rsidRPr="00013905">
              <w:rPr>
                <w:sz w:val="16"/>
                <w:szCs w:val="16"/>
                <w:vertAlign w:val="superscript"/>
                <w:lang w:val="en-US"/>
              </w:rPr>
              <w:t>®</w:t>
            </w:r>
            <w:r w:rsidRPr="00013905">
              <w:rPr>
                <w:sz w:val="16"/>
                <w:szCs w:val="16"/>
                <w:lang w:val="en-US"/>
              </w:rPr>
              <w:t xml:space="preserve"> 413 </w:t>
            </w:r>
          </w:p>
          <w:p w:rsidR="00D6161B" w:rsidRPr="00D6161B" w:rsidRDefault="00D6161B" w:rsidP="00D6161B">
            <w:pPr>
              <w:ind w:left="71" w:right="1064"/>
              <w:rPr>
                <w:sz w:val="16"/>
                <w:szCs w:val="16"/>
                <w:lang w:val="en-US"/>
              </w:rPr>
            </w:pPr>
            <w:r w:rsidRPr="00D6161B">
              <w:rPr>
                <w:sz w:val="16"/>
                <w:szCs w:val="16"/>
                <w:lang w:val="en-US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>Sopro VarioFlex</w:t>
            </w:r>
            <w:r w:rsidRPr="00D6161B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 xml:space="preserve"> Silver VF 419</w:t>
            </w:r>
            <w:r w:rsidRPr="00D6161B">
              <w:rPr>
                <w:sz w:val="16"/>
                <w:szCs w:val="16"/>
                <w:lang w:val="en-US"/>
              </w:rPr>
              <w:t xml:space="preserve">  </w:t>
            </w:r>
          </w:p>
          <w:p w:rsidR="00D6161B" w:rsidRPr="00D6161B" w:rsidRDefault="00D6161B" w:rsidP="00D6161B">
            <w:pPr>
              <w:ind w:left="71" w:right="1064"/>
              <w:rPr>
                <w:sz w:val="16"/>
                <w:szCs w:val="16"/>
                <w:lang w:val="en-US"/>
              </w:rPr>
            </w:pPr>
            <w:r w:rsidRPr="00D6161B">
              <w:rPr>
                <w:sz w:val="16"/>
                <w:szCs w:val="16"/>
                <w:lang w:val="en-US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>Sopro DF 10</w:t>
            </w:r>
            <w:r w:rsidRPr="00D6161B">
              <w:rPr>
                <w:rFonts w:cs="Arial"/>
                <w:sz w:val="16"/>
                <w:szCs w:val="16"/>
                <w:vertAlign w:val="superscript"/>
                <w:lang w:val="en-US"/>
              </w:rPr>
              <w:t>®</w:t>
            </w:r>
            <w:r w:rsidRPr="00D6161B">
              <w:rPr>
                <w:rFonts w:cs="Arial"/>
                <w:sz w:val="16"/>
                <w:szCs w:val="16"/>
                <w:lang w:val="en-US"/>
              </w:rPr>
              <w:t xml:space="preserve"> DesignFuge Flex</w:t>
            </w: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D6161B">
              <w:rPr>
                <w:sz w:val="16"/>
                <w:szCs w:val="16"/>
              </w:rPr>
              <w:t xml:space="preserve">- </w:t>
            </w:r>
            <w:r w:rsidRPr="00D6161B">
              <w:rPr>
                <w:rFonts w:cs="Arial"/>
                <w:sz w:val="16"/>
                <w:szCs w:val="16"/>
              </w:rPr>
              <w:t>Sopro KeramikSilicon</w:t>
            </w:r>
          </w:p>
          <w:p w:rsidR="00D6161B" w:rsidRPr="00D6161B" w:rsidRDefault="00D6161B" w:rsidP="00D6161B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D6161B" w:rsidRPr="00D6161B" w:rsidRDefault="00D6161B" w:rsidP="00D6161B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161B" w:rsidRPr="00D6161B" w:rsidRDefault="00D6161B" w:rsidP="00D6161B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default" r:id="rId8"/>
      <w:footerReference w:type="default" r:id="rId9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0B" w:rsidRDefault="00D13F0B">
      <w:r>
        <w:separator/>
      </w:r>
    </w:p>
  </w:endnote>
  <w:endnote w:type="continuationSeparator" w:id="0">
    <w:p w:rsidR="00D13F0B" w:rsidRDefault="00D1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013905">
      <w:rPr>
        <w:rStyle w:val="Seitenzahl"/>
        <w:noProof/>
        <w:sz w:val="18"/>
      </w:rPr>
      <w:t>5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0B" w:rsidRDefault="00D13F0B">
      <w:r>
        <w:separator/>
      </w:r>
    </w:p>
  </w:footnote>
  <w:footnote w:type="continuationSeparator" w:id="0">
    <w:p w:rsidR="00D13F0B" w:rsidRDefault="00D1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730D12">
    <w:pPr>
      <w:framePr w:w="2041" w:h="770" w:hRule="exact" w:hSpace="142" w:wrap="around" w:vAnchor="page" w:hAnchor="page" w:x="8619" w:y="68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alt="logo-4cm-300dpi-bw" style="width:101.9pt;height:38.05pt;visibility:visible">
          <v:imagedata r:id="rId1" o:title="logo-4cm-300dpi-bw"/>
        </v:shape>
      </w:pict>
    </w:r>
  </w:p>
  <w:p w:rsidR="00CE3372" w:rsidRDefault="00013905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56704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013905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57728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013905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58752" stroked="f">
          <o:lock v:ext="edit" aspectratio="t"/>
          <v:textbox style="mso-next-textbox:#_x0000_s2056">
            <w:txbxContent>
              <w:p w:rsidR="00CE3372" w:rsidRPr="00D6161B" w:rsidRDefault="0009167F" w:rsidP="00D6161B">
                <w:pPr>
                  <w:pStyle w:val="Kopfzeile"/>
                  <w:rPr>
                    <w:szCs w:val="22"/>
                  </w:rPr>
                </w:pPr>
                <w:r w:rsidRPr="00D6161B">
                  <w:rPr>
                    <w:b/>
                    <w:szCs w:val="22"/>
                  </w:rPr>
                  <w:t xml:space="preserve">Muster-Leistungsverzeichnis - </w:t>
                </w:r>
                <w:r w:rsidR="00D6161B" w:rsidRPr="00D6161B">
                  <w:rPr>
                    <w:b/>
                    <w:szCs w:val="22"/>
                  </w:rPr>
                  <w:t>Verlegung auf Calciumsulfatestrichen (Anhydritsystem)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013905" w:rsidP="00B47D01">
    <w:r>
      <w:rPr>
        <w:noProof/>
      </w:rPr>
      <w:pict>
        <v:shape id="_x0000_s2057" type="#_x0000_t202" style="position:absolute;margin-left:-8.25pt;margin-top:2.25pt;width:480.9pt;height:21.05pt;z-index:251659776" stroked="f">
          <o:lock v:ext="edit" aspectratio="t"/>
          <v:textbox style="mso-next-textbox:#_x0000_s2057">
            <w:txbxContent>
              <w:p w:rsidR="0009167F" w:rsidRPr="003A0907" w:rsidRDefault="00CE3372" w:rsidP="0009167F">
                <w:pPr>
                  <w:pStyle w:val="berschrift5"/>
                  <w:rPr>
                    <w:i w:val="0"/>
                  </w:rPr>
                </w:pPr>
                <w:r w:rsidRPr="0009167F">
                  <w:rPr>
                    <w:i w:val="0"/>
                  </w:rPr>
                  <w:t xml:space="preserve">Bauteil: </w:t>
                </w:r>
                <w:r w:rsidR="00D6161B">
                  <w:rPr>
                    <w:i w:val="0"/>
                  </w:rPr>
                  <w:t>Fußboden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013905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5680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5680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4656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5AB"/>
    <w:rsid w:val="00012400"/>
    <w:rsid w:val="00013905"/>
    <w:rsid w:val="00022472"/>
    <w:rsid w:val="00025FC6"/>
    <w:rsid w:val="00030266"/>
    <w:rsid w:val="0003345B"/>
    <w:rsid w:val="00066F54"/>
    <w:rsid w:val="00080139"/>
    <w:rsid w:val="0009167F"/>
    <w:rsid w:val="000A50E6"/>
    <w:rsid w:val="000D4FB5"/>
    <w:rsid w:val="000E5771"/>
    <w:rsid w:val="000E7641"/>
    <w:rsid w:val="000F01B5"/>
    <w:rsid w:val="000F64E1"/>
    <w:rsid w:val="00103ABD"/>
    <w:rsid w:val="001078E9"/>
    <w:rsid w:val="00127698"/>
    <w:rsid w:val="0014675E"/>
    <w:rsid w:val="001841E6"/>
    <w:rsid w:val="00184EDC"/>
    <w:rsid w:val="00190F74"/>
    <w:rsid w:val="00195E76"/>
    <w:rsid w:val="001A09F5"/>
    <w:rsid w:val="001A4708"/>
    <w:rsid w:val="001D2F50"/>
    <w:rsid w:val="001D5943"/>
    <w:rsid w:val="001E24F9"/>
    <w:rsid w:val="001E315E"/>
    <w:rsid w:val="00203C5D"/>
    <w:rsid w:val="00214757"/>
    <w:rsid w:val="00223F7A"/>
    <w:rsid w:val="002500A5"/>
    <w:rsid w:val="00253D07"/>
    <w:rsid w:val="00261B53"/>
    <w:rsid w:val="00282CC7"/>
    <w:rsid w:val="002B2A01"/>
    <w:rsid w:val="002C27D7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C4C4E"/>
    <w:rsid w:val="003D3E3A"/>
    <w:rsid w:val="003E2E67"/>
    <w:rsid w:val="003F7A50"/>
    <w:rsid w:val="0040229D"/>
    <w:rsid w:val="00446C54"/>
    <w:rsid w:val="004648BC"/>
    <w:rsid w:val="0047517F"/>
    <w:rsid w:val="00482F4B"/>
    <w:rsid w:val="00493EB1"/>
    <w:rsid w:val="004B067D"/>
    <w:rsid w:val="004C0A25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A52DE"/>
    <w:rsid w:val="006C5932"/>
    <w:rsid w:val="006E5B25"/>
    <w:rsid w:val="006F3126"/>
    <w:rsid w:val="00714240"/>
    <w:rsid w:val="00730D12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035AB"/>
    <w:rsid w:val="0082060E"/>
    <w:rsid w:val="00823808"/>
    <w:rsid w:val="00830390"/>
    <w:rsid w:val="008612DD"/>
    <w:rsid w:val="0087181C"/>
    <w:rsid w:val="00875310"/>
    <w:rsid w:val="008779C7"/>
    <w:rsid w:val="00881CB2"/>
    <w:rsid w:val="008A42C4"/>
    <w:rsid w:val="008C7FD9"/>
    <w:rsid w:val="00907C2D"/>
    <w:rsid w:val="009167F7"/>
    <w:rsid w:val="0092718A"/>
    <w:rsid w:val="00940FA4"/>
    <w:rsid w:val="009464C3"/>
    <w:rsid w:val="009767A0"/>
    <w:rsid w:val="009D2263"/>
    <w:rsid w:val="00A40F6B"/>
    <w:rsid w:val="00A44A3F"/>
    <w:rsid w:val="00A512E3"/>
    <w:rsid w:val="00A60FBD"/>
    <w:rsid w:val="00A64C61"/>
    <w:rsid w:val="00A85A65"/>
    <w:rsid w:val="00AA084B"/>
    <w:rsid w:val="00AB253B"/>
    <w:rsid w:val="00AC3E61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B569B"/>
    <w:rsid w:val="00BB5751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7BE"/>
    <w:rsid w:val="00CE0862"/>
    <w:rsid w:val="00CE3372"/>
    <w:rsid w:val="00CF63A8"/>
    <w:rsid w:val="00D032F2"/>
    <w:rsid w:val="00D13F0B"/>
    <w:rsid w:val="00D6161B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A66DB"/>
    <w:rsid w:val="00EB2E18"/>
    <w:rsid w:val="00ED2918"/>
    <w:rsid w:val="00ED7A81"/>
    <w:rsid w:val="00EE5693"/>
    <w:rsid w:val="00EF1F5B"/>
    <w:rsid w:val="00EF6A62"/>
    <w:rsid w:val="00F00D60"/>
    <w:rsid w:val="00F01C8E"/>
    <w:rsid w:val="00F24632"/>
    <w:rsid w:val="00F430A0"/>
    <w:rsid w:val="00F47542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1B667776-68DA-4021-9660-55B87A2C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3E4F2-672D-4E64-AA7C-C9161AADE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subject/>
  <dc:creator>Gastaldello Heiko</dc:creator>
  <cp:keywords/>
  <cp:lastModifiedBy>Gastaldello Heiko</cp:lastModifiedBy>
  <cp:revision>3</cp:revision>
  <cp:lastPrinted>2013-07-15T14:55:00Z</cp:lastPrinted>
  <dcterms:created xsi:type="dcterms:W3CDTF">2018-03-22T16:26:00Z</dcterms:created>
  <dcterms:modified xsi:type="dcterms:W3CDTF">2018-05-04T09:28:00Z</dcterms:modified>
</cp:coreProperties>
</file>